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emf" ContentType="image/x-emf"/>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17.xml" ContentType="application/vnd.ms-office.chartcolorstyle+xml"/>
  <Override PartName="/word/charts/colors18.xml" ContentType="application/vnd.ms-office.chartcolorstyle+xml"/>
  <Override PartName="/word/charts/colors19.xml" ContentType="application/vnd.ms-office.chartcolorstyle+xml"/>
  <Override PartName="/word/charts/colors2.xml" ContentType="application/vnd.ms-office.chartcolorstyle+xml"/>
  <Override PartName="/word/charts/colors20.xml" ContentType="application/vnd.ms-office.chartcolorstyle+xml"/>
  <Override PartName="/word/charts/colors21.xml" ContentType="application/vnd.ms-office.chartcolorstyle+xml"/>
  <Override PartName="/word/charts/colors22.xml" ContentType="application/vnd.ms-office.chartcolorstyle+xml"/>
  <Override PartName="/word/charts/colors23.xml" ContentType="application/vnd.ms-office.chartcolorstyle+xml"/>
  <Override PartName="/word/charts/colors24.xml" ContentType="application/vnd.ms-office.chartcolorstyle+xml"/>
  <Override PartName="/word/charts/colors25.xml" ContentType="application/vnd.ms-office.chartcolorstyle+xml"/>
  <Override PartName="/word/charts/colors26.xml" ContentType="application/vnd.ms-office.chartcolorstyle+xml"/>
  <Override PartName="/word/charts/colors27.xml" ContentType="application/vnd.ms-office.chartcolorstyle+xml"/>
  <Override PartName="/word/charts/colors28.xml" ContentType="application/vnd.ms-office.chartcolorstyle+xml"/>
  <Override PartName="/word/charts/colors29.xml" ContentType="application/vnd.ms-office.chartcolorstyle+xml"/>
  <Override PartName="/word/charts/colors3.xml" ContentType="application/vnd.ms-office.chartcolorstyle+xml"/>
  <Override PartName="/word/charts/colors30.xml" ContentType="application/vnd.ms-office.chartcolorstyle+xml"/>
  <Override PartName="/word/charts/colors31.xml" ContentType="application/vnd.ms-office.chartcolorstyle+xml"/>
  <Override PartName="/word/charts/colors32.xml" ContentType="application/vnd.ms-office.chartcolorstyle+xml"/>
  <Override PartName="/word/charts/colors33.xml" ContentType="application/vnd.ms-office.chartcolorstyle+xml"/>
  <Override PartName="/word/charts/colors34.xml" ContentType="application/vnd.ms-office.chartcolorstyle+xml"/>
  <Override PartName="/word/charts/colors35.xml" ContentType="application/vnd.ms-office.chartcolorstyle+xml"/>
  <Override PartName="/word/charts/colors36.xml" ContentType="application/vnd.ms-office.chartcolorstyle+xml"/>
  <Override PartName="/word/charts/colors37.xml" ContentType="application/vnd.ms-office.chartcolorstyle+xml"/>
  <Override PartName="/word/charts/colors38.xml" ContentType="application/vnd.ms-office.chartcolorstyle+xml"/>
  <Override PartName="/word/charts/colors39.xml" ContentType="application/vnd.ms-office.chartcolorstyle+xml"/>
  <Override PartName="/word/charts/colors4.xml" ContentType="application/vnd.ms-office.chartcolorstyle+xml"/>
  <Override PartName="/word/charts/colors40.xml" ContentType="application/vnd.ms-office.chartcolorstyle+xml"/>
  <Override PartName="/word/charts/colors41.xml" ContentType="application/vnd.ms-office.chartcolorstyle+xml"/>
  <Override PartName="/word/charts/colors42.xml" ContentType="application/vnd.ms-office.chartcolorstyle+xml"/>
  <Override PartName="/word/charts/colors43.xml" ContentType="application/vnd.ms-office.chartcolorstyle+xml"/>
  <Override PartName="/word/charts/colors44.xml" ContentType="application/vnd.ms-office.chartcolorstyle+xml"/>
  <Override PartName="/word/charts/colors45.xml" ContentType="application/vnd.ms-office.chartcolorstyle+xml"/>
  <Override PartName="/word/charts/colors46.xml" ContentType="application/vnd.ms-office.chartcolorstyle+xml"/>
  <Override PartName="/word/charts/colors47.xml" ContentType="application/vnd.ms-office.chartcolorstyle+xml"/>
  <Override PartName="/word/charts/colors48.xml" ContentType="application/vnd.ms-office.chartcolorstyle+xml"/>
  <Override PartName="/word/charts/colors49.xml" ContentType="application/vnd.ms-office.chartcolorstyle+xml"/>
  <Override PartName="/word/charts/colors5.xml" ContentType="application/vnd.ms-office.chartcolorstyle+xml"/>
  <Override PartName="/word/charts/colors50.xml" ContentType="application/vnd.ms-office.chartcolorstyle+xml"/>
  <Override PartName="/word/charts/colors51.xml" ContentType="application/vnd.ms-office.chartcolorstyle+xml"/>
  <Override PartName="/word/charts/colors52.xml" ContentType="application/vnd.ms-office.chartcolorstyle+xml"/>
  <Override PartName="/word/charts/colors53.xml" ContentType="application/vnd.ms-office.chartcolorstyle+xml"/>
  <Override PartName="/word/charts/colors54.xml" ContentType="application/vnd.ms-office.chartcolorstyle+xml"/>
  <Override PartName="/word/charts/colors55.xml" ContentType="application/vnd.ms-office.chartcolorstyle+xml"/>
  <Override PartName="/word/charts/colors56.xml" ContentType="application/vnd.ms-office.chartcolorstyle+xml"/>
  <Override PartName="/word/charts/colors57.xml" ContentType="application/vnd.ms-office.chartcolorstyle+xml"/>
  <Override PartName="/word/charts/colors58.xml" ContentType="application/vnd.ms-office.chartcolorstyle+xml"/>
  <Override PartName="/word/charts/colors59.xml" ContentType="application/vnd.ms-office.chartcolorstyle+xml"/>
  <Override PartName="/word/charts/colors6.xml" ContentType="application/vnd.ms-office.chartcolorstyle+xml"/>
  <Override PartName="/word/charts/colors60.xml" ContentType="application/vnd.ms-office.chartcolorstyle+xml"/>
  <Override PartName="/word/charts/colors61.xml" ContentType="application/vnd.ms-office.chartcolorstyle+xml"/>
  <Override PartName="/word/charts/colors62.xml" ContentType="application/vnd.ms-office.chartcolorstyle+xml"/>
  <Override PartName="/word/charts/colors63.xml" ContentType="application/vnd.ms-office.chartcolorstyle+xml"/>
  <Override PartName="/word/charts/colors64.xml" ContentType="application/vnd.ms-office.chartcolorstyle+xml"/>
  <Override PartName="/word/charts/colors65.xml" ContentType="application/vnd.ms-office.chartcolorstyle+xml"/>
  <Override PartName="/word/charts/colors66.xml" ContentType="application/vnd.ms-office.chartcolorstyle+xml"/>
  <Override PartName="/word/charts/colors67.xml" ContentType="application/vnd.ms-office.chartcolorstyle+xml"/>
  <Override PartName="/word/charts/colors68.xml" ContentType="application/vnd.ms-office.chartcolorstyle+xml"/>
  <Override PartName="/word/charts/colors69.xml" ContentType="application/vnd.ms-office.chartcolorstyle+xml"/>
  <Override PartName="/word/charts/colors7.xml" ContentType="application/vnd.ms-office.chartcolorstyle+xml"/>
  <Override PartName="/word/charts/colors70.xml" ContentType="application/vnd.ms-office.chartcolorstyle+xml"/>
  <Override PartName="/word/charts/colors71.xml" ContentType="application/vnd.ms-office.chartcolorstyle+xml"/>
  <Override PartName="/word/charts/colors72.xml" ContentType="application/vnd.ms-office.chartcolorstyle+xml"/>
  <Override PartName="/word/charts/colors73.xml" ContentType="application/vnd.ms-office.chartcolorstyle+xml"/>
  <Override PartName="/word/charts/colors74.xml" ContentType="application/vnd.ms-office.chartcolorstyle+xml"/>
  <Override PartName="/word/charts/colors75.xml" ContentType="application/vnd.ms-office.chartcolorstyle+xml"/>
  <Override PartName="/word/charts/colors76.xml" ContentType="application/vnd.ms-office.chartcolorstyle+xml"/>
  <Override PartName="/word/charts/colors7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17.xml" ContentType="application/vnd.ms-office.chartstyle+xml"/>
  <Override PartName="/word/charts/style18.xml" ContentType="application/vnd.ms-office.chartstyle+xml"/>
  <Override PartName="/word/charts/style19.xml" ContentType="application/vnd.ms-office.chartstyle+xml"/>
  <Override PartName="/word/charts/style2.xml" ContentType="application/vnd.ms-office.chartstyle+xml"/>
  <Override PartName="/word/charts/style20.xml" ContentType="application/vnd.ms-office.chartstyle+xml"/>
  <Override PartName="/word/charts/style21.xml" ContentType="application/vnd.ms-office.chartstyle+xml"/>
  <Override PartName="/word/charts/style22.xml" ContentType="application/vnd.ms-office.chartstyle+xml"/>
  <Override PartName="/word/charts/style23.xml" ContentType="application/vnd.ms-office.chartstyle+xml"/>
  <Override PartName="/word/charts/style24.xml" ContentType="application/vnd.ms-office.chartstyle+xml"/>
  <Override PartName="/word/charts/style25.xml" ContentType="application/vnd.ms-office.chartstyle+xml"/>
  <Override PartName="/word/charts/style26.xml" ContentType="application/vnd.ms-office.chartstyle+xml"/>
  <Override PartName="/word/charts/style27.xml" ContentType="application/vnd.ms-office.chartstyle+xml"/>
  <Override PartName="/word/charts/style28.xml" ContentType="application/vnd.ms-office.chartstyle+xml"/>
  <Override PartName="/word/charts/style29.xml" ContentType="application/vnd.ms-office.chartstyle+xml"/>
  <Override PartName="/word/charts/style3.xml" ContentType="application/vnd.ms-office.chartstyle+xml"/>
  <Override PartName="/word/charts/style30.xml" ContentType="application/vnd.ms-office.chartstyle+xml"/>
  <Override PartName="/word/charts/style31.xml" ContentType="application/vnd.ms-office.chartstyle+xml"/>
  <Override PartName="/word/charts/style32.xml" ContentType="application/vnd.ms-office.chartstyle+xml"/>
  <Override PartName="/word/charts/style33.xml" ContentType="application/vnd.ms-office.chartstyle+xml"/>
  <Override PartName="/word/charts/style34.xml" ContentType="application/vnd.ms-office.chartstyle+xml"/>
  <Override PartName="/word/charts/style35.xml" ContentType="application/vnd.ms-office.chartstyle+xml"/>
  <Override PartName="/word/charts/style36.xml" ContentType="application/vnd.ms-office.chartstyle+xml"/>
  <Override PartName="/word/charts/style37.xml" ContentType="application/vnd.ms-office.chartstyle+xml"/>
  <Override PartName="/word/charts/style38.xml" ContentType="application/vnd.ms-office.chartstyle+xml"/>
  <Override PartName="/word/charts/style39.xml" ContentType="application/vnd.ms-office.chartstyle+xml"/>
  <Override PartName="/word/charts/style4.xml" ContentType="application/vnd.ms-office.chartstyle+xml"/>
  <Override PartName="/word/charts/style40.xml" ContentType="application/vnd.ms-office.chartstyle+xml"/>
  <Override PartName="/word/charts/style41.xml" ContentType="application/vnd.ms-office.chartstyle+xml"/>
  <Override PartName="/word/charts/style42.xml" ContentType="application/vnd.ms-office.chartstyle+xml"/>
  <Override PartName="/word/charts/style43.xml" ContentType="application/vnd.ms-office.chartstyle+xml"/>
  <Override PartName="/word/charts/style44.xml" ContentType="application/vnd.ms-office.chartstyle+xml"/>
  <Override PartName="/word/charts/style45.xml" ContentType="application/vnd.ms-office.chartstyle+xml"/>
  <Override PartName="/word/charts/style46.xml" ContentType="application/vnd.ms-office.chartstyle+xml"/>
  <Override PartName="/word/charts/style47.xml" ContentType="application/vnd.ms-office.chartstyle+xml"/>
  <Override PartName="/word/charts/style48.xml" ContentType="application/vnd.ms-office.chartstyle+xml"/>
  <Override PartName="/word/charts/style49.xml" ContentType="application/vnd.ms-office.chartstyle+xml"/>
  <Override PartName="/word/charts/style5.xml" ContentType="application/vnd.ms-office.chartstyle+xml"/>
  <Override PartName="/word/charts/style50.xml" ContentType="application/vnd.ms-office.chartstyle+xml"/>
  <Override PartName="/word/charts/style51.xml" ContentType="application/vnd.ms-office.chartstyle+xml"/>
  <Override PartName="/word/charts/style52.xml" ContentType="application/vnd.ms-office.chartstyle+xml"/>
  <Override PartName="/word/charts/style53.xml" ContentType="application/vnd.ms-office.chartstyle+xml"/>
  <Override PartName="/word/charts/style54.xml" ContentType="application/vnd.ms-office.chartstyle+xml"/>
  <Override PartName="/word/charts/style55.xml" ContentType="application/vnd.ms-office.chartstyle+xml"/>
  <Override PartName="/word/charts/style56.xml" ContentType="application/vnd.ms-office.chartstyle+xml"/>
  <Override PartName="/word/charts/style57.xml" ContentType="application/vnd.ms-office.chartstyle+xml"/>
  <Override PartName="/word/charts/style58.xml" ContentType="application/vnd.ms-office.chartstyle+xml"/>
  <Override PartName="/word/charts/style59.xml" ContentType="application/vnd.ms-office.chartstyle+xml"/>
  <Override PartName="/word/charts/style6.xml" ContentType="application/vnd.ms-office.chartstyle+xml"/>
  <Override PartName="/word/charts/style60.xml" ContentType="application/vnd.ms-office.chartstyle+xml"/>
  <Override PartName="/word/charts/style61.xml" ContentType="application/vnd.ms-office.chartstyle+xml"/>
  <Override PartName="/word/charts/style62.xml" ContentType="application/vnd.ms-office.chartstyle+xml"/>
  <Override PartName="/word/charts/style63.xml" ContentType="application/vnd.ms-office.chartstyle+xml"/>
  <Override PartName="/word/charts/style64.xml" ContentType="application/vnd.ms-office.chartstyle+xml"/>
  <Override PartName="/word/charts/style65.xml" ContentType="application/vnd.ms-office.chartstyle+xml"/>
  <Override PartName="/word/charts/style66.xml" ContentType="application/vnd.ms-office.chartstyle+xml"/>
  <Override PartName="/word/charts/style67.xml" ContentType="application/vnd.ms-office.chartstyle+xml"/>
  <Override PartName="/word/charts/style68.xml" ContentType="application/vnd.ms-office.chartstyle+xml"/>
  <Override PartName="/word/charts/style69.xml" ContentType="application/vnd.ms-office.chartstyle+xml"/>
  <Override PartName="/word/charts/style7.xml" ContentType="application/vnd.ms-office.chartstyle+xml"/>
  <Override PartName="/word/charts/style70.xml" ContentType="application/vnd.ms-office.chartstyle+xml"/>
  <Override PartName="/word/charts/style71.xml" ContentType="application/vnd.ms-office.chartstyle+xml"/>
  <Override PartName="/word/charts/style72.xml" ContentType="application/vnd.ms-office.chartstyle+xml"/>
  <Override PartName="/word/charts/style73.xml" ContentType="application/vnd.ms-office.chartstyle+xml"/>
  <Override PartName="/word/charts/style74.xml" ContentType="application/vnd.ms-office.chartstyle+xml"/>
  <Override PartName="/word/charts/style75.xml" ContentType="application/vnd.ms-office.chartstyle+xml"/>
  <Override PartName="/word/charts/style76.xml" ContentType="application/vnd.ms-office.chartstyle+xml"/>
  <Override PartName="/word/charts/style77.xml" ContentType="application/vnd.ms-office.chartstyle+xml"/>
  <Override PartName="/word/charts/style8.xml" ContentType="application/vnd.ms-office.chartstyle+xml"/>
  <Override PartName="/word/charts/style9.xml" ContentType="application/vnd.ms-office.chartstyle+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7"/>
        <w:rPr>
          <w:lang w:val="sv-SE"/>
        </w:rPr>
      </w:pPr>
      <w:bookmarkStart w:id="917" w:name="_GoBack"/>
      <w:bookmarkEnd w:id="917"/>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sv-SE" w:eastAsia="zh-CN"/>
        </w:rPr>
        <w:t>0</w:t>
      </w:r>
      <w:r>
        <w:rPr>
          <w:lang w:val="sv-SE"/>
        </w:rPr>
        <w:t>.</w:t>
      </w:r>
      <w:r>
        <w:rPr>
          <w:rFonts w:hint="eastAsia"/>
          <w:lang w:val="en-US" w:eastAsia="zh-CN"/>
        </w:rPr>
        <w:t>7</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11</w:t>
      </w:r>
      <w:r>
        <w:rPr>
          <w:sz w:val="32"/>
          <w:lang w:val="sv-SE"/>
        </w:rPr>
        <w:t>)</w:t>
      </w:r>
    </w:p>
    <w:p>
      <w:pPr>
        <w:pStyle w:val="78"/>
      </w:pPr>
      <w:r>
        <w:t>Technical Report</w:t>
      </w:r>
    </w:p>
    <w:p>
      <w:pPr>
        <w:pStyle w:val="79"/>
      </w:pPr>
      <w:r>
        <w:t>3rd Generation Partnership Project;</w:t>
      </w:r>
    </w:p>
    <w:p>
      <w:pPr>
        <w:pStyle w:val="79"/>
        <w:rPr>
          <w:lang w:eastAsia="zh-CN"/>
        </w:rPr>
      </w:pPr>
      <w:r>
        <w:t>Technical Specification Group Radio Access Network;</w:t>
      </w:r>
    </w:p>
    <w:p>
      <w:pPr>
        <w:pStyle w:val="79"/>
        <w:rPr>
          <w:lang w:eastAsia="zh-CN"/>
        </w:rPr>
      </w:pPr>
      <w:r>
        <w:rPr>
          <w:rFonts w:hint="eastAsia"/>
          <w:lang w:eastAsia="zh-CN"/>
        </w:rPr>
        <w:t>NR;</w:t>
      </w:r>
    </w:p>
    <w:p>
      <w:pPr>
        <w:pStyle w:val="79"/>
      </w:pPr>
      <w:r>
        <w:t>Study on Air-to-ground network for NR</w:t>
      </w:r>
    </w:p>
    <w:p>
      <w:pPr>
        <w:pStyle w:val="79"/>
        <w:rPr>
          <w:i/>
          <w:sz w:val="28"/>
        </w:rPr>
      </w:pPr>
      <w:r>
        <w:t xml:space="preserve"> (</w:t>
      </w:r>
      <w:r>
        <w:rPr>
          <w:rStyle w:val="59"/>
        </w:rPr>
        <w:t>Release 1</w:t>
      </w:r>
      <w:r>
        <w:rPr>
          <w:rStyle w:val="59"/>
          <w:rFonts w:hint="eastAsia"/>
          <w:lang w:eastAsia="zh-CN"/>
        </w:rPr>
        <w:t>8</w:t>
      </w:r>
      <w:r>
        <w:t>)</w:t>
      </w:r>
    </w:p>
    <w:p>
      <w:pPr>
        <w:pStyle w:val="80"/>
        <w:framePr w:h="4929" w:hRule="exact"/>
        <w:tabs>
          <w:tab w:val="right" w:pos="10206"/>
        </w:tabs>
        <w:jc w:val="left"/>
      </w:pPr>
      <w:r>
        <w:rPr>
          <w:i/>
        </w:rPr>
        <w:t xml:space="preserve">  </w:t>
      </w:r>
      <w:r>
        <w:object>
          <v:shape id="_x0000_i1025" o:spt="75" type="#_x0000_t75" style="height:63.5pt;width:103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r>
        <w:tab/>
      </w:r>
      <w:r>
        <w:rPr>
          <w:lang w:val="en-US" w:eastAsia="zh-CN"/>
        </w:rPr>
        <w:drawing>
          <wp:inline distT="0" distB="0" distL="0" distR="0">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9"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pPr>
        <w:pStyle w:val="80"/>
        <w:framePr w:h="4929" w:hRule="exact"/>
        <w:tabs>
          <w:tab w:val="right" w:pos="10206"/>
        </w:tabs>
        <w:jc w:val="left"/>
      </w:pPr>
    </w:p>
    <w:p>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90"/>
      </w:pPr>
    </w:p>
    <w:p/>
    <w:bookmarkEnd w:id="0"/>
    <w:p>
      <w:pPr>
        <w:sectPr>
          <w:footnotePr>
            <w:numRestart w:val="eachSect"/>
          </w:footnotePr>
          <w:pgSz w:w="11907" w:h="16840"/>
          <w:pgMar w:top="2268" w:right="851" w:bottom="10773" w:left="851" w:header="0" w:footer="0" w:gutter="0"/>
          <w:cols w:space="720" w:num="1"/>
        </w:sectPr>
      </w:pPr>
    </w:p>
    <w:p>
      <w:pPr>
        <w:pStyle w:val="100"/>
        <w:rPr>
          <w:color w:val="auto"/>
        </w:rPr>
      </w:pPr>
      <w:bookmarkStart w:id="1" w:name="page2"/>
      <w:r>
        <w:rPr>
          <w:color w:val="auto"/>
        </w:rPr>
        <w:br w:type="textWrapping"/>
      </w:r>
    </w:p>
    <w:p/>
    <w:p>
      <w:pPr>
        <w:pStyle w:val="71"/>
        <w:framePr w:wrap="notBeside" w:vAnchor="margin" w:hAnchor="margin" w:y="1419"/>
        <w:pBdr>
          <w:bottom w:val="single" w:color="auto" w:sz="6" w:space="1"/>
        </w:pBdr>
        <w:spacing w:before="240"/>
        <w:ind w:left="2835" w:right="2835"/>
        <w:jc w:val="center"/>
      </w:pPr>
      <w:r>
        <w:t>Keywords</w:t>
      </w:r>
    </w:p>
    <w:p>
      <w:pPr>
        <w:pStyle w:val="71"/>
        <w:framePr w:wrap="notBeside" w:vAnchor="margin" w:hAnchor="margin" w:y="1419"/>
        <w:ind w:left="2835" w:right="2835"/>
        <w:jc w:val="center"/>
        <w:rPr>
          <w:rFonts w:ascii="Arial" w:hAnsi="Arial"/>
          <w:sz w:val="18"/>
        </w:rPr>
      </w:pPr>
      <w:r>
        <w:rPr>
          <w:rFonts w:ascii="Arial" w:hAnsi="Arial"/>
          <w:sz w:val="18"/>
        </w:rPr>
        <w:t>Radio, LTE</w:t>
      </w:r>
    </w:p>
    <w:p/>
    <w:p>
      <w:pPr>
        <w:pStyle w:val="71"/>
        <w:framePr w:wrap="notBeside" w:vAnchor="margin" w:hAnchor="margin" w:yAlign="center"/>
        <w:spacing w:after="240"/>
        <w:ind w:left="2835" w:right="2835"/>
        <w:jc w:val="center"/>
        <w:rPr>
          <w:rFonts w:ascii="Arial" w:hAnsi="Arial"/>
          <w:b/>
          <w:i/>
        </w:rPr>
      </w:pPr>
      <w:r>
        <w:rPr>
          <w:rFonts w:ascii="Arial" w:hAnsi="Arial"/>
          <w:b/>
          <w:i/>
        </w:rPr>
        <w:t>3GPP</w:t>
      </w:r>
    </w:p>
    <w:p>
      <w:pPr>
        <w:pStyle w:val="71"/>
        <w:framePr w:wrap="notBeside" w:vAnchor="margin" w:hAnchor="margin" w:yAlign="center"/>
        <w:pBdr>
          <w:bottom w:val="single" w:color="auto" w:sz="6" w:space="1"/>
        </w:pBdr>
        <w:ind w:left="2835" w:right="2835"/>
        <w:jc w:val="center"/>
      </w:pPr>
      <w:r>
        <w:t>Postal address</w:t>
      </w:r>
    </w:p>
    <w:p>
      <w:pPr>
        <w:pStyle w:val="71"/>
        <w:framePr w:wrap="notBeside" w:vAnchor="margin" w:hAnchor="margin" w:yAlign="center"/>
        <w:ind w:left="2835" w:right="2835"/>
        <w:jc w:val="center"/>
        <w:rPr>
          <w:rFonts w:ascii="Arial" w:hAnsi="Arial"/>
          <w:sz w:val="18"/>
        </w:rPr>
      </w:pPr>
    </w:p>
    <w:p>
      <w:pPr>
        <w:pStyle w:val="71"/>
        <w:framePr w:wrap="notBeside" w:vAnchor="margin" w:hAnchor="margin" w:yAlign="center"/>
        <w:pBdr>
          <w:bottom w:val="single" w:color="auto" w:sz="6" w:space="1"/>
        </w:pBdr>
        <w:spacing w:before="240"/>
        <w:ind w:left="2835" w:right="2835"/>
        <w:jc w:val="center"/>
      </w:pPr>
      <w:r>
        <w:t>3GPP support office address</w:t>
      </w:r>
    </w:p>
    <w:p>
      <w:pPr>
        <w:pStyle w:val="71"/>
        <w:framePr w:wrap="notBeside" w:vAnchor="margin" w:hAnchor="margin" w:yAlign="center"/>
        <w:ind w:left="2835" w:right="2835"/>
        <w:jc w:val="center"/>
        <w:rPr>
          <w:rFonts w:ascii="Arial" w:hAnsi="Arial"/>
          <w:sz w:val="18"/>
        </w:rPr>
      </w:pPr>
      <w:r>
        <w:rPr>
          <w:rFonts w:ascii="Arial" w:hAnsi="Arial"/>
          <w:sz w:val="18"/>
        </w:rPr>
        <w:t>650 Route des Lucioles - Sophia Antipolis</w:t>
      </w:r>
    </w:p>
    <w:p>
      <w:pPr>
        <w:pStyle w:val="71"/>
        <w:framePr w:wrap="notBeside" w:vAnchor="margin" w:hAnchor="margin" w:yAlign="center"/>
        <w:ind w:left="2835" w:right="2835"/>
        <w:jc w:val="center"/>
        <w:rPr>
          <w:rFonts w:ascii="Arial" w:hAnsi="Arial"/>
          <w:sz w:val="18"/>
        </w:rPr>
      </w:pPr>
      <w:r>
        <w:rPr>
          <w:rFonts w:ascii="Arial" w:hAnsi="Arial"/>
          <w:sz w:val="18"/>
        </w:rPr>
        <w:t>Valbonne - FRANCE</w:t>
      </w:r>
    </w:p>
    <w:p>
      <w:pPr>
        <w:pStyle w:val="71"/>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71"/>
        <w:framePr w:wrap="notBeside" w:vAnchor="margin" w:hAnchor="margin" w:yAlign="center"/>
        <w:pBdr>
          <w:bottom w:val="single" w:color="auto" w:sz="6" w:space="1"/>
        </w:pBdr>
        <w:spacing w:before="240"/>
        <w:ind w:left="2835" w:right="2835"/>
        <w:jc w:val="center"/>
      </w:pPr>
      <w:r>
        <w:t>Internet</w:t>
      </w:r>
    </w:p>
    <w:p>
      <w:pPr>
        <w:pStyle w:val="71"/>
        <w:framePr w:wrap="notBeside" w:vAnchor="margin" w:hAnchor="margin" w:yAlign="center"/>
        <w:ind w:left="2835" w:right="2835"/>
        <w:jc w:val="center"/>
        <w:rPr>
          <w:rFonts w:ascii="Arial" w:hAnsi="Arial"/>
          <w:sz w:val="18"/>
        </w:rPr>
      </w:pPr>
      <w:r>
        <w:rPr>
          <w:rFonts w:ascii="Arial" w:hAnsi="Arial"/>
          <w:sz w:val="18"/>
        </w:rPr>
        <w:t>http://www.3gpp.org</w:t>
      </w:r>
    </w:p>
    <w:p/>
    <w:p>
      <w:pPr>
        <w:pStyle w:val="71"/>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71"/>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71"/>
        <w:framePr w:h="3057" w:hRule="exact" w:wrap="notBeside" w:vAnchor="page" w:hAnchor="margin" w:y="12605"/>
        <w:jc w:val="center"/>
      </w:pPr>
    </w:p>
    <w:p>
      <w:pPr>
        <w:pStyle w:val="71"/>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pPr>
        <w:pStyle w:val="71"/>
        <w:framePr w:h="3057" w:hRule="exact" w:wrap="notBeside" w:vAnchor="page" w:hAnchor="margin" w:y="12605"/>
        <w:jc w:val="center"/>
        <w:rPr>
          <w:sz w:val="18"/>
        </w:rPr>
      </w:pPr>
      <w:r>
        <w:rPr>
          <w:sz w:val="18"/>
        </w:rPr>
        <w:t>All rights reserved.</w:t>
      </w:r>
    </w:p>
    <w:p>
      <w:pPr>
        <w:pStyle w:val="71"/>
        <w:framePr w:h="3057" w:hRule="exact" w:wrap="notBeside" w:vAnchor="page" w:hAnchor="margin" w:y="12605"/>
        <w:rPr>
          <w:sz w:val="18"/>
        </w:rPr>
      </w:pPr>
    </w:p>
    <w:p>
      <w:pPr>
        <w:pStyle w:val="71"/>
        <w:framePr w:h="3057" w:hRule="exact" w:wrap="notBeside" w:vAnchor="page" w:hAnchor="margin" w:y="12605"/>
        <w:rPr>
          <w:sz w:val="18"/>
        </w:rPr>
      </w:pPr>
      <w:r>
        <w:rPr>
          <w:sz w:val="18"/>
        </w:rPr>
        <w:t>UMTS™ is a Trade Mark of ETSI registered for the benefit of its members</w:t>
      </w:r>
    </w:p>
    <w:p>
      <w:pPr>
        <w:pStyle w:val="71"/>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71"/>
        <w:framePr w:h="3057" w:hRule="exact" w:wrap="notBeside" w:vAnchor="page" w:hAnchor="margin" w:y="12605"/>
        <w:rPr>
          <w:sz w:val="18"/>
        </w:rPr>
      </w:pPr>
      <w:r>
        <w:rPr>
          <w:sz w:val="18"/>
        </w:rPr>
        <w:t>GSM® and the GSM logo are registered and owned by the GSM Association</w:t>
      </w:r>
    </w:p>
    <w:p/>
    <w:bookmarkEnd w:id="1"/>
    <w:p>
      <w:pPr>
        <w:pStyle w:val="61"/>
      </w:pPr>
      <w:r>
        <w:br w:type="page"/>
      </w:r>
      <w:r>
        <w:t>Contents</w:t>
      </w:r>
    </w:p>
    <w:p>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_Toc10304 \h </w:instrText>
      </w:r>
      <w:r>
        <w:fldChar w:fldCharType="separate"/>
      </w:r>
      <w:r>
        <w:t>7</w:t>
      </w:r>
      <w:r>
        <w:fldChar w:fldCharType="end"/>
      </w:r>
    </w:p>
    <w:p>
      <w:pPr>
        <w:pStyle w:val="21"/>
        <w:tabs>
          <w:tab w:val="right" w:pos="2000"/>
          <w:tab w:val="right" w:leader="dot" w:pos="9641"/>
          <w:tab w:val="clear" w:pos="9639"/>
        </w:tabs>
      </w:pPr>
      <w:r>
        <w:rPr>
          <w:lang w:eastAsia="zh-CN"/>
        </w:rPr>
        <w:t>1</w:t>
      </w:r>
      <w:r>
        <w:rPr>
          <w:lang w:eastAsia="zh-CN"/>
        </w:rPr>
        <w:tab/>
      </w:r>
      <w:r>
        <w:rPr>
          <w:lang w:eastAsia="zh-CN"/>
        </w:rPr>
        <w:t>Scope</w:t>
      </w:r>
      <w:r>
        <w:tab/>
      </w:r>
      <w:r>
        <w:fldChar w:fldCharType="begin"/>
      </w:r>
      <w:r>
        <w:instrText xml:space="preserve"> PAGEREF _Toc11250 \h </w:instrText>
      </w:r>
      <w:r>
        <w:fldChar w:fldCharType="separate"/>
      </w:r>
      <w:r>
        <w:t>8</w:t>
      </w:r>
      <w:r>
        <w:fldChar w:fldCharType="end"/>
      </w:r>
    </w:p>
    <w:p>
      <w:pPr>
        <w:pStyle w:val="21"/>
        <w:tabs>
          <w:tab w:val="right" w:pos="2000"/>
          <w:tab w:val="right" w:leader="dot" w:pos="9641"/>
          <w:tab w:val="clear" w:pos="9639"/>
        </w:tabs>
      </w:pPr>
      <w:r>
        <w:rPr>
          <w:lang w:eastAsia="zh-CN"/>
        </w:rPr>
        <w:t>2</w:t>
      </w:r>
      <w:r>
        <w:rPr>
          <w:lang w:eastAsia="zh-CN"/>
        </w:rPr>
        <w:tab/>
      </w:r>
      <w:r>
        <w:rPr>
          <w:lang w:eastAsia="zh-CN"/>
        </w:rPr>
        <w:t>References</w:t>
      </w:r>
      <w:r>
        <w:tab/>
      </w:r>
      <w:r>
        <w:fldChar w:fldCharType="begin"/>
      </w:r>
      <w:r>
        <w:instrText xml:space="preserve"> PAGEREF _Toc27183 \h </w:instrText>
      </w:r>
      <w:r>
        <w:fldChar w:fldCharType="separate"/>
      </w:r>
      <w:r>
        <w:t>8</w:t>
      </w:r>
      <w:r>
        <w:fldChar w:fldCharType="end"/>
      </w:r>
    </w:p>
    <w:p>
      <w:pPr>
        <w:pStyle w:val="21"/>
        <w:tabs>
          <w:tab w:val="right" w:pos="2000"/>
          <w:tab w:val="right" w:leader="dot" w:pos="9641"/>
          <w:tab w:val="clear" w:pos="9639"/>
        </w:tabs>
      </w:pPr>
      <w:r>
        <w:rPr>
          <w:lang w:eastAsia="zh-CN"/>
        </w:rPr>
        <w:t>3</w:t>
      </w:r>
      <w:r>
        <w:rPr>
          <w:lang w:eastAsia="zh-CN"/>
        </w:rPr>
        <w:tab/>
      </w:r>
      <w:r>
        <w:rPr>
          <w:lang w:eastAsia="zh-CN"/>
        </w:rPr>
        <w:t>Definitions, symbols and abbreviations</w:t>
      </w:r>
      <w:r>
        <w:tab/>
      </w:r>
      <w:r>
        <w:fldChar w:fldCharType="begin"/>
      </w:r>
      <w:r>
        <w:instrText xml:space="preserve"> PAGEREF _Toc2409 \h </w:instrText>
      </w:r>
      <w:r>
        <w:fldChar w:fldCharType="separate"/>
      </w:r>
      <w:r>
        <w:t>9</w:t>
      </w:r>
      <w:r>
        <w:fldChar w:fldCharType="end"/>
      </w:r>
    </w:p>
    <w:p>
      <w:pPr>
        <w:pStyle w:val="20"/>
        <w:tabs>
          <w:tab w:val="right" w:pos="2000"/>
          <w:tab w:val="right" w:leader="dot" w:pos="9641"/>
          <w:tab w:val="clear" w:pos="9639"/>
        </w:tabs>
      </w:pPr>
      <w:r>
        <w:t>3.1</w:t>
      </w:r>
      <w:r>
        <w:tab/>
      </w:r>
      <w:r>
        <w:t>Definitions</w:t>
      </w:r>
      <w:r>
        <w:tab/>
      </w:r>
      <w:r>
        <w:fldChar w:fldCharType="begin"/>
      </w:r>
      <w:r>
        <w:instrText xml:space="preserve"> PAGEREF _Toc15382 \h </w:instrText>
      </w:r>
      <w:r>
        <w:fldChar w:fldCharType="separate"/>
      </w:r>
      <w:r>
        <w:t>9</w:t>
      </w:r>
      <w:r>
        <w:fldChar w:fldCharType="end"/>
      </w:r>
    </w:p>
    <w:p>
      <w:pPr>
        <w:pStyle w:val="20"/>
        <w:tabs>
          <w:tab w:val="right" w:pos="2000"/>
          <w:tab w:val="right" w:leader="dot" w:pos="9641"/>
          <w:tab w:val="clear" w:pos="9639"/>
        </w:tabs>
      </w:pPr>
      <w:r>
        <w:t>3.2</w:t>
      </w:r>
      <w:r>
        <w:tab/>
      </w:r>
      <w:r>
        <w:t>Symbols</w:t>
      </w:r>
      <w:r>
        <w:tab/>
      </w:r>
      <w:r>
        <w:fldChar w:fldCharType="begin"/>
      </w:r>
      <w:r>
        <w:instrText xml:space="preserve"> PAGEREF _Toc22639 \h </w:instrText>
      </w:r>
      <w:r>
        <w:fldChar w:fldCharType="separate"/>
      </w:r>
      <w:r>
        <w:t>9</w:t>
      </w:r>
      <w:r>
        <w:fldChar w:fldCharType="end"/>
      </w:r>
    </w:p>
    <w:p>
      <w:pPr>
        <w:pStyle w:val="20"/>
        <w:tabs>
          <w:tab w:val="right" w:pos="2000"/>
          <w:tab w:val="right" w:leader="dot" w:pos="9641"/>
          <w:tab w:val="clear" w:pos="9639"/>
        </w:tabs>
      </w:pPr>
      <w:r>
        <w:t>3.3</w:t>
      </w:r>
      <w:r>
        <w:tab/>
      </w:r>
      <w:r>
        <w:t>Abbreviations</w:t>
      </w:r>
      <w:r>
        <w:tab/>
      </w:r>
      <w:r>
        <w:fldChar w:fldCharType="begin"/>
      </w:r>
      <w:r>
        <w:instrText xml:space="preserve"> PAGEREF _Toc30198 \h </w:instrText>
      </w:r>
      <w:r>
        <w:fldChar w:fldCharType="separate"/>
      </w:r>
      <w:r>
        <w:t>9</w:t>
      </w:r>
      <w:r>
        <w:fldChar w:fldCharType="end"/>
      </w:r>
    </w:p>
    <w:p>
      <w:pPr>
        <w:pStyle w:val="21"/>
        <w:tabs>
          <w:tab w:val="right" w:pos="2000"/>
          <w:tab w:val="right" w:leader="dot" w:pos="9641"/>
          <w:tab w:val="clear" w:pos="9639"/>
        </w:tabs>
      </w:pPr>
      <w:r>
        <w:rPr>
          <w:lang w:eastAsia="zh-CN"/>
        </w:rPr>
        <w:t>4</w:t>
      </w:r>
      <w:r>
        <w:rPr>
          <w:lang w:eastAsia="zh-CN"/>
        </w:rPr>
        <w:tab/>
      </w:r>
      <w:r>
        <w:rPr>
          <w:lang w:eastAsia="zh-CN"/>
        </w:rPr>
        <w:t>Background</w:t>
      </w:r>
      <w:r>
        <w:tab/>
      </w:r>
      <w:r>
        <w:fldChar w:fldCharType="begin"/>
      </w:r>
      <w:r>
        <w:instrText xml:space="preserve"> PAGEREF _Toc22177 \h </w:instrText>
      </w:r>
      <w:r>
        <w:fldChar w:fldCharType="separate"/>
      </w:r>
      <w:r>
        <w:t>10</w:t>
      </w:r>
      <w:r>
        <w:fldChar w:fldCharType="end"/>
      </w:r>
    </w:p>
    <w:p>
      <w:pPr>
        <w:pStyle w:val="21"/>
        <w:tabs>
          <w:tab w:val="right" w:pos="2000"/>
          <w:tab w:val="right" w:leader="dot" w:pos="9641"/>
          <w:tab w:val="clear" w:pos="9639"/>
        </w:tabs>
      </w:pPr>
      <w:r>
        <w:rPr>
          <w:lang w:eastAsia="zh-CN"/>
        </w:rPr>
        <w:t>5</w:t>
      </w:r>
      <w:r>
        <w:rPr>
          <w:lang w:eastAsia="zh-CN"/>
        </w:rPr>
        <w:tab/>
      </w:r>
      <w:r>
        <w:rPr>
          <w:rFonts w:hint="eastAsia"/>
          <w:lang w:eastAsia="zh-CN"/>
        </w:rPr>
        <w:t xml:space="preserve">ATG </w:t>
      </w:r>
      <w:r>
        <w:rPr>
          <w:lang w:eastAsia="zh-CN"/>
        </w:rPr>
        <w:t>band</w:t>
      </w:r>
      <w:r>
        <w:rPr>
          <w:rFonts w:hint="eastAsia"/>
          <w:lang w:eastAsia="zh-CN"/>
        </w:rPr>
        <w:t>s</w:t>
      </w:r>
      <w:r>
        <w:tab/>
      </w:r>
      <w:r>
        <w:fldChar w:fldCharType="begin"/>
      </w:r>
      <w:r>
        <w:instrText xml:space="preserve"> PAGEREF _Toc5643 \h </w:instrText>
      </w:r>
      <w:r>
        <w:fldChar w:fldCharType="separate"/>
      </w:r>
      <w:r>
        <w:t>10</w:t>
      </w:r>
      <w:r>
        <w:fldChar w:fldCharType="end"/>
      </w:r>
    </w:p>
    <w:p>
      <w:pPr>
        <w:pStyle w:val="21"/>
        <w:tabs>
          <w:tab w:val="right" w:pos="2000"/>
          <w:tab w:val="right" w:leader="dot" w:pos="9641"/>
          <w:tab w:val="clear" w:pos="9639"/>
        </w:tabs>
      </w:pPr>
      <w:r>
        <w:rPr>
          <w:rFonts w:hint="eastAsia"/>
          <w:lang w:eastAsia="zh-CN"/>
        </w:rPr>
        <w:t>6</w:t>
      </w:r>
      <w:r>
        <w:tab/>
      </w:r>
      <w:r>
        <w:rPr>
          <w:rFonts w:hint="eastAsia"/>
          <w:lang w:eastAsia="zh-CN"/>
        </w:rPr>
        <w:t>Co-existence study</w:t>
      </w:r>
      <w:r>
        <w:tab/>
      </w:r>
      <w:r>
        <w:fldChar w:fldCharType="begin"/>
      </w:r>
      <w:r>
        <w:instrText xml:space="preserve"> PAGEREF _Toc17486 \h </w:instrText>
      </w:r>
      <w:r>
        <w:fldChar w:fldCharType="separate"/>
      </w:r>
      <w:r>
        <w:t>11</w:t>
      </w:r>
      <w:r>
        <w:fldChar w:fldCharType="end"/>
      </w:r>
    </w:p>
    <w:p>
      <w:pPr>
        <w:pStyle w:val="20"/>
        <w:tabs>
          <w:tab w:val="right" w:leader="dot" w:pos="9641"/>
          <w:tab w:val="clear" w:pos="9639"/>
        </w:tabs>
      </w:pPr>
      <w:r>
        <w:rPr>
          <w:rFonts w:hint="eastAsia"/>
          <w:lang w:eastAsia="en-US"/>
        </w:rPr>
        <w:t xml:space="preserve">6.1 </w:t>
      </w:r>
      <w:r>
        <w:rPr>
          <w:lang w:eastAsia="en-US"/>
        </w:rPr>
        <w:t>Co-existence simulation scenario</w:t>
      </w:r>
      <w:r>
        <w:tab/>
      </w:r>
      <w:r>
        <w:fldChar w:fldCharType="begin"/>
      </w:r>
      <w:r>
        <w:instrText xml:space="preserve"> PAGEREF _Toc26838 \h </w:instrText>
      </w:r>
      <w:r>
        <w:fldChar w:fldCharType="separate"/>
      </w:r>
      <w:r>
        <w:t>11</w:t>
      </w:r>
      <w:r>
        <w:fldChar w:fldCharType="end"/>
      </w:r>
    </w:p>
    <w:p>
      <w:pPr>
        <w:pStyle w:val="20"/>
        <w:tabs>
          <w:tab w:val="right" w:leader="dot" w:pos="9641"/>
          <w:tab w:val="clear" w:pos="9639"/>
        </w:tabs>
      </w:pPr>
      <w:r>
        <w:rPr>
          <w:rFonts w:hint="eastAsia"/>
        </w:rPr>
        <w:t xml:space="preserve">6.2 </w:t>
      </w:r>
      <w:r>
        <w:t>Co-existence simulation assumption</w:t>
      </w:r>
      <w:r>
        <w:tab/>
      </w:r>
      <w:r>
        <w:fldChar w:fldCharType="begin"/>
      </w:r>
      <w:r>
        <w:instrText xml:space="preserve"> PAGEREF _Toc32502 \h </w:instrText>
      </w:r>
      <w:r>
        <w:fldChar w:fldCharType="separate"/>
      </w:r>
      <w:r>
        <w:t>12</w:t>
      </w:r>
      <w:r>
        <w:fldChar w:fldCharType="end"/>
      </w:r>
    </w:p>
    <w:p>
      <w:pPr>
        <w:pStyle w:val="19"/>
        <w:tabs>
          <w:tab w:val="right" w:leader="dot" w:pos="9641"/>
          <w:tab w:val="clear" w:pos="9639"/>
        </w:tabs>
      </w:pPr>
      <w:r>
        <w:rPr>
          <w:rFonts w:hint="eastAsia"/>
        </w:rPr>
        <w:t xml:space="preserve">6.2.1 </w:t>
      </w:r>
      <w:r>
        <w:t>Network layout model</w:t>
      </w:r>
      <w:r>
        <w:tab/>
      </w:r>
      <w:r>
        <w:fldChar w:fldCharType="begin"/>
      </w:r>
      <w:r>
        <w:instrText xml:space="preserve"> PAGEREF _Toc27869 \h </w:instrText>
      </w:r>
      <w:r>
        <w:fldChar w:fldCharType="separate"/>
      </w:r>
      <w:r>
        <w:t>12</w:t>
      </w:r>
      <w:r>
        <w:fldChar w:fldCharType="end"/>
      </w:r>
    </w:p>
    <w:p>
      <w:pPr>
        <w:pStyle w:val="18"/>
        <w:tabs>
          <w:tab w:val="right" w:leader="dot" w:pos="9641"/>
          <w:tab w:val="clear" w:pos="9639"/>
        </w:tabs>
      </w:pPr>
      <w:r>
        <w:rPr>
          <w:rFonts w:hint="eastAsia"/>
          <w:lang w:eastAsia="zh-CN"/>
        </w:rPr>
        <w:t xml:space="preserve">6.2.1.1 </w:t>
      </w:r>
      <w:r>
        <w:t>Co-existence between ATG and NR terrestrial network</w:t>
      </w:r>
      <w:r>
        <w:tab/>
      </w:r>
      <w:r>
        <w:fldChar w:fldCharType="begin"/>
      </w:r>
      <w:r>
        <w:instrText xml:space="preserve"> PAGEREF _Toc8193 \h </w:instrText>
      </w:r>
      <w:r>
        <w:fldChar w:fldCharType="separate"/>
      </w:r>
      <w:r>
        <w:t>12</w:t>
      </w:r>
      <w:r>
        <w:fldChar w:fldCharType="end"/>
      </w:r>
    </w:p>
    <w:p>
      <w:pPr>
        <w:pStyle w:val="18"/>
        <w:tabs>
          <w:tab w:val="right" w:leader="dot" w:pos="9641"/>
          <w:tab w:val="clear" w:pos="9639"/>
        </w:tabs>
      </w:pPr>
      <w:r>
        <w:rPr>
          <w:rFonts w:hint="eastAsia"/>
          <w:lang w:eastAsia="zh-CN"/>
        </w:rPr>
        <w:t>6.2.1.</w:t>
      </w:r>
      <w:r>
        <w:rPr>
          <w:lang w:eastAsia="zh-CN"/>
        </w:rPr>
        <w:t>2</w:t>
      </w:r>
      <w:r>
        <w:rPr>
          <w:rFonts w:hint="eastAsia"/>
          <w:lang w:eastAsia="zh-CN"/>
        </w:rPr>
        <w:t xml:space="preserve"> </w:t>
      </w:r>
      <w:r>
        <w:t>TN Network Layout</w:t>
      </w:r>
      <w:r>
        <w:tab/>
      </w:r>
      <w:r>
        <w:fldChar w:fldCharType="begin"/>
      </w:r>
      <w:r>
        <w:instrText xml:space="preserve"> PAGEREF _Toc9978 \h </w:instrText>
      </w:r>
      <w:r>
        <w:fldChar w:fldCharType="separate"/>
      </w:r>
      <w:r>
        <w:t>14</w:t>
      </w:r>
      <w:r>
        <w:fldChar w:fldCharType="end"/>
      </w:r>
    </w:p>
    <w:p>
      <w:pPr>
        <w:pStyle w:val="18"/>
        <w:tabs>
          <w:tab w:val="right" w:leader="dot" w:pos="9641"/>
          <w:tab w:val="clear" w:pos="9639"/>
        </w:tabs>
      </w:pPr>
      <w:r>
        <w:rPr>
          <w:rFonts w:hint="eastAsia"/>
          <w:lang w:eastAsia="zh-CN"/>
        </w:rPr>
        <w:t>6.2.1.</w:t>
      </w:r>
      <w:r>
        <w:rPr>
          <w:lang w:eastAsia="zh-CN"/>
        </w:rPr>
        <w:t>3</w:t>
      </w:r>
      <w:r>
        <w:rPr>
          <w:rFonts w:hint="eastAsia"/>
          <w:lang w:eastAsia="zh-CN"/>
        </w:rPr>
        <w:t xml:space="preserve"> </w:t>
      </w:r>
      <w:r>
        <w:t>ATG Network Layout</w:t>
      </w:r>
      <w:r>
        <w:tab/>
      </w:r>
      <w:r>
        <w:fldChar w:fldCharType="begin"/>
      </w:r>
      <w:r>
        <w:instrText xml:space="preserve"> PAGEREF _Toc11279 \h </w:instrText>
      </w:r>
      <w:r>
        <w:fldChar w:fldCharType="separate"/>
      </w:r>
      <w:r>
        <w:t>14</w:t>
      </w:r>
      <w:r>
        <w:fldChar w:fldCharType="end"/>
      </w:r>
    </w:p>
    <w:p>
      <w:pPr>
        <w:pStyle w:val="18"/>
        <w:tabs>
          <w:tab w:val="right" w:leader="dot" w:pos="9641"/>
          <w:tab w:val="clear" w:pos="9639"/>
        </w:tabs>
      </w:pPr>
      <w:r>
        <w:t>6.2.1.4 Non-synchronized scenarios network layout</w:t>
      </w:r>
      <w:r>
        <w:tab/>
      </w:r>
      <w:r>
        <w:fldChar w:fldCharType="begin"/>
      </w:r>
      <w:r>
        <w:instrText xml:space="preserve"> PAGEREF _Toc7487 \h </w:instrText>
      </w:r>
      <w:r>
        <w:fldChar w:fldCharType="separate"/>
      </w:r>
      <w:r>
        <w:t>15</w:t>
      </w:r>
      <w:r>
        <w:fldChar w:fldCharType="end"/>
      </w:r>
    </w:p>
    <w:p>
      <w:pPr>
        <w:pStyle w:val="17"/>
        <w:tabs>
          <w:tab w:val="right" w:leader="dot" w:pos="9641"/>
          <w:tab w:val="clear" w:pos="9639"/>
        </w:tabs>
      </w:pPr>
      <w:r>
        <w:rPr>
          <w:lang w:val="en-GB" w:eastAsia="ja-JP"/>
        </w:rPr>
        <w:t xml:space="preserve">Case 1 - </w:t>
      </w:r>
      <w:r>
        <w:t>Angle between ATG BS boresight and nearest TN BS boresight in azimuth is 0 degree</w:t>
      </w:r>
      <w:r>
        <w:tab/>
      </w:r>
      <w:r>
        <w:fldChar w:fldCharType="begin"/>
      </w:r>
      <w:r>
        <w:instrText xml:space="preserve"> PAGEREF _Toc7447 \h </w:instrText>
      </w:r>
      <w:r>
        <w:fldChar w:fldCharType="separate"/>
      </w:r>
      <w:r>
        <w:t>15</w:t>
      </w:r>
      <w:r>
        <w:fldChar w:fldCharType="end"/>
      </w:r>
    </w:p>
    <w:p>
      <w:pPr>
        <w:pStyle w:val="17"/>
        <w:tabs>
          <w:tab w:val="right" w:leader="dot" w:pos="9641"/>
          <w:tab w:val="clear" w:pos="9639"/>
        </w:tabs>
      </w:pPr>
      <w:r>
        <w:rPr>
          <w:lang w:val="en-GB" w:eastAsia="ja-JP"/>
        </w:rPr>
        <w:t xml:space="preserve">Case 2 - </w:t>
      </w:r>
      <w:r>
        <w:t>Angle between ATG BS boresight and nearest TN BS boresight in azimuth is 30 degrees</w:t>
      </w:r>
      <w:r>
        <w:tab/>
      </w:r>
      <w:r>
        <w:fldChar w:fldCharType="begin"/>
      </w:r>
      <w:r>
        <w:instrText xml:space="preserve"> PAGEREF _Toc25927 \h </w:instrText>
      </w:r>
      <w:r>
        <w:fldChar w:fldCharType="separate"/>
      </w:r>
      <w:r>
        <w:t>16</w:t>
      </w:r>
      <w:r>
        <w:fldChar w:fldCharType="end"/>
      </w:r>
    </w:p>
    <w:p>
      <w:pPr>
        <w:pStyle w:val="17"/>
        <w:tabs>
          <w:tab w:val="right" w:leader="dot" w:pos="9641"/>
          <w:tab w:val="clear" w:pos="9639"/>
        </w:tabs>
      </w:pPr>
      <w:r>
        <w:rPr>
          <w:lang w:val="en-GB" w:eastAsia="ja-JP"/>
        </w:rPr>
        <w:t xml:space="preserve">Case 3 - </w:t>
      </w:r>
      <w:r>
        <w:t>Angle between ATG BS boresight and nearest TN BS boresight in azimuth is 60 degrees</w:t>
      </w:r>
      <w:r>
        <w:tab/>
      </w:r>
      <w:r>
        <w:fldChar w:fldCharType="begin"/>
      </w:r>
      <w:r>
        <w:instrText xml:space="preserve"> PAGEREF _Toc12220 \h </w:instrText>
      </w:r>
      <w:r>
        <w:fldChar w:fldCharType="separate"/>
      </w:r>
      <w:r>
        <w:t>17</w:t>
      </w:r>
      <w:r>
        <w:fldChar w:fldCharType="end"/>
      </w:r>
    </w:p>
    <w:p>
      <w:pPr>
        <w:pStyle w:val="19"/>
        <w:tabs>
          <w:tab w:val="right" w:leader="dot" w:pos="9641"/>
          <w:tab w:val="clear" w:pos="9639"/>
        </w:tabs>
      </w:pPr>
      <w:r>
        <w:rPr>
          <w:rFonts w:hint="eastAsia"/>
          <w:lang w:eastAsia="zh-CN"/>
        </w:rPr>
        <w:t xml:space="preserve">6.2.2 </w:t>
      </w:r>
      <w:r>
        <w:t>System parameters</w:t>
      </w:r>
      <w:r>
        <w:tab/>
      </w:r>
      <w:r>
        <w:fldChar w:fldCharType="begin"/>
      </w:r>
      <w:r>
        <w:instrText xml:space="preserve"> PAGEREF _Toc14526 \h </w:instrText>
      </w:r>
      <w:r>
        <w:fldChar w:fldCharType="separate"/>
      </w:r>
      <w:r>
        <w:t>18</w:t>
      </w:r>
      <w:r>
        <w:fldChar w:fldCharType="end"/>
      </w:r>
    </w:p>
    <w:p>
      <w:pPr>
        <w:pStyle w:val="18"/>
        <w:tabs>
          <w:tab w:val="right" w:leader="dot" w:pos="9641"/>
          <w:tab w:val="clear" w:pos="9639"/>
        </w:tabs>
      </w:pPr>
      <w:r>
        <w:rPr>
          <w:rFonts w:hint="eastAsia"/>
        </w:rPr>
        <w:t xml:space="preserve">6.2.2.1 </w:t>
      </w:r>
      <w:r>
        <w:t>ATG parameters</w:t>
      </w:r>
      <w:r>
        <w:tab/>
      </w:r>
      <w:r>
        <w:fldChar w:fldCharType="begin"/>
      </w:r>
      <w:r>
        <w:instrText xml:space="preserve"> PAGEREF _Toc28382 \h </w:instrText>
      </w:r>
      <w:r>
        <w:fldChar w:fldCharType="separate"/>
      </w:r>
      <w:r>
        <w:t>18</w:t>
      </w:r>
      <w:r>
        <w:fldChar w:fldCharType="end"/>
      </w:r>
    </w:p>
    <w:p>
      <w:pPr>
        <w:pStyle w:val="18"/>
        <w:tabs>
          <w:tab w:val="right" w:leader="dot" w:pos="9641"/>
          <w:tab w:val="clear" w:pos="9639"/>
        </w:tabs>
      </w:pPr>
      <w:r>
        <w:rPr>
          <w:rFonts w:hint="eastAsia"/>
        </w:rPr>
        <w:t xml:space="preserve">6.2.2.2 </w:t>
      </w:r>
      <w:r>
        <w:t>ATG UE parameters</w:t>
      </w:r>
      <w:r>
        <w:tab/>
      </w:r>
      <w:r>
        <w:fldChar w:fldCharType="begin"/>
      </w:r>
      <w:r>
        <w:instrText xml:space="preserve"> PAGEREF _Toc27815 \h </w:instrText>
      </w:r>
      <w:r>
        <w:fldChar w:fldCharType="separate"/>
      </w:r>
      <w:r>
        <w:t>19</w:t>
      </w:r>
      <w:r>
        <w:fldChar w:fldCharType="end"/>
      </w:r>
    </w:p>
    <w:p>
      <w:pPr>
        <w:pStyle w:val="18"/>
        <w:tabs>
          <w:tab w:val="right" w:leader="dot" w:pos="9641"/>
          <w:tab w:val="clear" w:pos="9639"/>
        </w:tabs>
      </w:pPr>
      <w:r>
        <w:rPr>
          <w:rFonts w:hint="eastAsia"/>
        </w:rPr>
        <w:t xml:space="preserve">6.2.2.3 </w:t>
      </w:r>
      <w:r>
        <w:t>TN BS and UE parameters</w:t>
      </w:r>
      <w:r>
        <w:tab/>
      </w:r>
      <w:r>
        <w:fldChar w:fldCharType="begin"/>
      </w:r>
      <w:r>
        <w:instrText xml:space="preserve"> PAGEREF _Toc2858 \h </w:instrText>
      </w:r>
      <w:r>
        <w:fldChar w:fldCharType="separate"/>
      </w:r>
      <w:r>
        <w:t>20</w:t>
      </w:r>
      <w:r>
        <w:fldChar w:fldCharType="end"/>
      </w:r>
    </w:p>
    <w:p>
      <w:pPr>
        <w:pStyle w:val="19"/>
        <w:tabs>
          <w:tab w:val="right" w:leader="dot" w:pos="9641"/>
          <w:tab w:val="clear" w:pos="9639"/>
        </w:tabs>
      </w:pPr>
      <w:r>
        <w:rPr>
          <w:rFonts w:hint="eastAsia"/>
          <w:lang w:eastAsia="zh-CN"/>
        </w:rPr>
        <w:t xml:space="preserve">6.2.3 </w:t>
      </w:r>
      <w:r>
        <w:t>Antenna and beamforming pattern modelling</w:t>
      </w:r>
      <w:r>
        <w:tab/>
      </w:r>
      <w:r>
        <w:fldChar w:fldCharType="begin"/>
      </w:r>
      <w:r>
        <w:instrText xml:space="preserve"> PAGEREF _Toc23226 \h </w:instrText>
      </w:r>
      <w:r>
        <w:fldChar w:fldCharType="separate"/>
      </w:r>
      <w:r>
        <w:t>20</w:t>
      </w:r>
      <w:r>
        <w:fldChar w:fldCharType="end"/>
      </w:r>
    </w:p>
    <w:p>
      <w:pPr>
        <w:pStyle w:val="18"/>
        <w:tabs>
          <w:tab w:val="right" w:leader="dot" w:pos="9641"/>
          <w:tab w:val="clear" w:pos="9639"/>
        </w:tabs>
      </w:pPr>
      <w:r>
        <w:rPr>
          <w:rFonts w:hint="eastAsia"/>
        </w:rPr>
        <w:t xml:space="preserve">6.2.3.1 </w:t>
      </w:r>
      <w:r>
        <w:t>ATG BS antenna model</w:t>
      </w:r>
      <w:r>
        <w:tab/>
      </w:r>
      <w:r>
        <w:fldChar w:fldCharType="begin"/>
      </w:r>
      <w:r>
        <w:instrText xml:space="preserve"> PAGEREF _Toc21167 \h </w:instrText>
      </w:r>
      <w:r>
        <w:fldChar w:fldCharType="separate"/>
      </w:r>
      <w:r>
        <w:t>20</w:t>
      </w:r>
      <w:r>
        <w:fldChar w:fldCharType="end"/>
      </w:r>
    </w:p>
    <w:p>
      <w:pPr>
        <w:pStyle w:val="18"/>
        <w:tabs>
          <w:tab w:val="right" w:leader="dot" w:pos="9641"/>
          <w:tab w:val="clear" w:pos="9639"/>
        </w:tabs>
      </w:pPr>
      <w:r>
        <w:rPr>
          <w:rFonts w:hint="eastAsia"/>
        </w:rPr>
        <w:t xml:space="preserve">6.2.3.2 </w:t>
      </w:r>
      <w:r>
        <w:t>ATG UE antenna model</w:t>
      </w:r>
      <w:r>
        <w:tab/>
      </w:r>
      <w:r>
        <w:fldChar w:fldCharType="begin"/>
      </w:r>
      <w:r>
        <w:instrText xml:space="preserve"> PAGEREF _Toc16148 \h </w:instrText>
      </w:r>
      <w:r>
        <w:fldChar w:fldCharType="separate"/>
      </w:r>
      <w:r>
        <w:t>21</w:t>
      </w:r>
      <w:r>
        <w:fldChar w:fldCharType="end"/>
      </w:r>
    </w:p>
    <w:p>
      <w:pPr>
        <w:pStyle w:val="18"/>
        <w:tabs>
          <w:tab w:val="right" w:leader="dot" w:pos="9641"/>
          <w:tab w:val="clear" w:pos="9639"/>
        </w:tabs>
      </w:pPr>
      <w:r>
        <w:rPr>
          <w:rFonts w:hint="eastAsia"/>
        </w:rPr>
        <w:t xml:space="preserve">6.2.3.3 </w:t>
      </w:r>
      <w:r>
        <w:t>TN BS antenna model</w:t>
      </w:r>
      <w:r>
        <w:tab/>
      </w:r>
      <w:r>
        <w:fldChar w:fldCharType="begin"/>
      </w:r>
      <w:r>
        <w:instrText xml:space="preserve"> PAGEREF _Toc9355 \h </w:instrText>
      </w:r>
      <w:r>
        <w:fldChar w:fldCharType="separate"/>
      </w:r>
      <w:r>
        <w:t>22</w:t>
      </w:r>
      <w:r>
        <w:fldChar w:fldCharType="end"/>
      </w:r>
    </w:p>
    <w:p>
      <w:pPr>
        <w:pStyle w:val="18"/>
        <w:tabs>
          <w:tab w:val="right" w:leader="dot" w:pos="9641"/>
          <w:tab w:val="clear" w:pos="9639"/>
        </w:tabs>
      </w:pPr>
      <w:r>
        <w:rPr>
          <w:rFonts w:hint="eastAsia"/>
        </w:rPr>
        <w:t>6</w:t>
      </w:r>
      <w:r>
        <w:t>.</w:t>
      </w:r>
      <w:r>
        <w:rPr>
          <w:rFonts w:hint="eastAsia"/>
        </w:rPr>
        <w:t>2</w:t>
      </w:r>
      <w:r>
        <w:t>.</w:t>
      </w:r>
      <w:r>
        <w:rPr>
          <w:rFonts w:hint="eastAsia"/>
        </w:rPr>
        <w:t>3</w:t>
      </w:r>
      <w:r>
        <w:t>.</w:t>
      </w:r>
      <w:r>
        <w:rPr>
          <w:rFonts w:hint="eastAsia"/>
        </w:rPr>
        <w:t xml:space="preserve">4 </w:t>
      </w:r>
      <w:r>
        <w:t>TN UE antenna model</w:t>
      </w:r>
      <w:r>
        <w:tab/>
      </w:r>
      <w:r>
        <w:fldChar w:fldCharType="begin"/>
      </w:r>
      <w:r>
        <w:instrText xml:space="preserve"> PAGEREF _Toc15842 \h </w:instrText>
      </w:r>
      <w:r>
        <w:fldChar w:fldCharType="separate"/>
      </w:r>
      <w:r>
        <w:t>23</w:t>
      </w:r>
      <w:r>
        <w:fldChar w:fldCharType="end"/>
      </w:r>
    </w:p>
    <w:p>
      <w:pPr>
        <w:pStyle w:val="19"/>
        <w:tabs>
          <w:tab w:val="right" w:leader="dot" w:pos="9641"/>
          <w:tab w:val="clear" w:pos="9639"/>
        </w:tabs>
      </w:pPr>
      <w:r>
        <w:rPr>
          <w:rFonts w:hint="eastAsia"/>
          <w:lang w:eastAsia="zh-CN"/>
        </w:rPr>
        <w:t xml:space="preserve">6.2.4 </w:t>
      </w:r>
      <w:r>
        <w:t>ACLR and ACS modelling</w:t>
      </w:r>
      <w:r>
        <w:tab/>
      </w:r>
      <w:r>
        <w:fldChar w:fldCharType="begin"/>
      </w:r>
      <w:r>
        <w:instrText xml:space="preserve"> PAGEREF _Toc20594 \h </w:instrText>
      </w:r>
      <w:r>
        <w:fldChar w:fldCharType="separate"/>
      </w:r>
      <w:r>
        <w:t>23</w:t>
      </w:r>
      <w:r>
        <w:fldChar w:fldCharType="end"/>
      </w:r>
    </w:p>
    <w:p>
      <w:pPr>
        <w:pStyle w:val="19"/>
        <w:tabs>
          <w:tab w:val="right" w:leader="dot" w:pos="9641"/>
          <w:tab w:val="clear" w:pos="9639"/>
        </w:tabs>
      </w:pPr>
      <w:r>
        <w:rPr>
          <w:rFonts w:hint="eastAsia"/>
          <w:lang w:eastAsia="zh-CN"/>
        </w:rPr>
        <w:t xml:space="preserve">6.2.5 </w:t>
      </w:r>
      <w:r>
        <w:rPr>
          <w:lang w:eastAsia="zh-CN"/>
        </w:rPr>
        <w:t>Propagation model</w:t>
      </w:r>
      <w:r>
        <w:tab/>
      </w:r>
      <w:r>
        <w:fldChar w:fldCharType="begin"/>
      </w:r>
      <w:r>
        <w:instrText xml:space="preserve"> PAGEREF _Toc11874 \h </w:instrText>
      </w:r>
      <w:r>
        <w:fldChar w:fldCharType="separate"/>
      </w:r>
      <w:r>
        <w:t>24</w:t>
      </w:r>
      <w:r>
        <w:fldChar w:fldCharType="end"/>
      </w:r>
    </w:p>
    <w:p>
      <w:pPr>
        <w:pStyle w:val="18"/>
        <w:tabs>
          <w:tab w:val="right" w:leader="dot" w:pos="9641"/>
          <w:tab w:val="clear" w:pos="9639"/>
        </w:tabs>
      </w:pPr>
      <w:r>
        <w:rPr>
          <w:rFonts w:hint="eastAsia"/>
        </w:rPr>
        <w:t xml:space="preserve">6.2.5.1 </w:t>
      </w:r>
      <w:r>
        <w:t>Propagation model between TN UE and ATG UE</w:t>
      </w:r>
      <w:r>
        <w:tab/>
      </w:r>
      <w:r>
        <w:fldChar w:fldCharType="begin"/>
      </w:r>
      <w:r>
        <w:instrText xml:space="preserve"> PAGEREF _Toc11211 \h </w:instrText>
      </w:r>
      <w:r>
        <w:fldChar w:fldCharType="separate"/>
      </w:r>
      <w:r>
        <w:t>24</w:t>
      </w:r>
      <w:r>
        <w:fldChar w:fldCharType="end"/>
      </w:r>
    </w:p>
    <w:p>
      <w:pPr>
        <w:pStyle w:val="18"/>
        <w:tabs>
          <w:tab w:val="right" w:leader="dot" w:pos="9641"/>
          <w:tab w:val="clear" w:pos="9639"/>
        </w:tabs>
      </w:pPr>
      <w:r>
        <w:rPr>
          <w:rFonts w:hint="eastAsia"/>
        </w:rPr>
        <w:t xml:space="preserve">6.2.5.2 </w:t>
      </w:r>
      <w:r>
        <w:t>Propagation model between TN BS and TN UE</w:t>
      </w:r>
      <w:r>
        <w:tab/>
      </w:r>
      <w:r>
        <w:fldChar w:fldCharType="begin"/>
      </w:r>
      <w:r>
        <w:instrText xml:space="preserve"> PAGEREF _Toc15313 \h </w:instrText>
      </w:r>
      <w:r>
        <w:fldChar w:fldCharType="separate"/>
      </w:r>
      <w:r>
        <w:t>25</w:t>
      </w:r>
      <w:r>
        <w:fldChar w:fldCharType="end"/>
      </w:r>
    </w:p>
    <w:p>
      <w:pPr>
        <w:pStyle w:val="18"/>
        <w:tabs>
          <w:tab w:val="right" w:leader="dot" w:pos="9641"/>
          <w:tab w:val="clear" w:pos="9639"/>
        </w:tabs>
      </w:pPr>
      <w:r>
        <w:rPr>
          <w:rFonts w:hint="eastAsia"/>
        </w:rPr>
        <w:t xml:space="preserve">6.2.5.3 </w:t>
      </w:r>
      <w:r>
        <w:t>Propagation model between ATG BS and TN BS</w:t>
      </w:r>
      <w:r>
        <w:tab/>
      </w:r>
      <w:r>
        <w:fldChar w:fldCharType="begin"/>
      </w:r>
      <w:r>
        <w:instrText xml:space="preserve"> PAGEREF _Toc18735 \h </w:instrText>
      </w:r>
      <w:r>
        <w:fldChar w:fldCharType="separate"/>
      </w:r>
      <w:r>
        <w:t>29</w:t>
      </w:r>
      <w:r>
        <w:fldChar w:fldCharType="end"/>
      </w:r>
    </w:p>
    <w:p>
      <w:pPr>
        <w:pStyle w:val="18"/>
        <w:tabs>
          <w:tab w:val="right" w:leader="dot" w:pos="9641"/>
          <w:tab w:val="clear" w:pos="9639"/>
        </w:tabs>
      </w:pPr>
      <w:r>
        <w:rPr>
          <w:rFonts w:hint="eastAsia"/>
        </w:rPr>
        <w:t xml:space="preserve">6.2.5.4 </w:t>
      </w:r>
      <w:r>
        <w:t>Propagation model between ATG BS and TN UE</w:t>
      </w:r>
      <w:r>
        <w:tab/>
      </w:r>
      <w:r>
        <w:fldChar w:fldCharType="begin"/>
      </w:r>
      <w:r>
        <w:instrText xml:space="preserve"> PAGEREF _Toc9778 \h </w:instrText>
      </w:r>
      <w:r>
        <w:fldChar w:fldCharType="separate"/>
      </w:r>
      <w:r>
        <w:t>29</w:t>
      </w:r>
      <w:r>
        <w:fldChar w:fldCharType="end"/>
      </w:r>
    </w:p>
    <w:p>
      <w:pPr>
        <w:pStyle w:val="18"/>
        <w:tabs>
          <w:tab w:val="right" w:leader="dot" w:pos="9641"/>
          <w:tab w:val="clear" w:pos="9639"/>
        </w:tabs>
      </w:pPr>
      <w:r>
        <w:rPr>
          <w:rFonts w:hint="eastAsia"/>
        </w:rPr>
        <w:t xml:space="preserve">6.2.5.5 </w:t>
      </w:r>
      <w:r>
        <w:t>Propagation model between TN BS and ATG UE</w:t>
      </w:r>
      <w:r>
        <w:tab/>
      </w:r>
      <w:r>
        <w:fldChar w:fldCharType="begin"/>
      </w:r>
      <w:r>
        <w:instrText xml:space="preserve"> PAGEREF _Toc1919 \h </w:instrText>
      </w:r>
      <w:r>
        <w:fldChar w:fldCharType="separate"/>
      </w:r>
      <w:r>
        <w:t>29</w:t>
      </w:r>
      <w:r>
        <w:fldChar w:fldCharType="end"/>
      </w:r>
    </w:p>
    <w:p>
      <w:pPr>
        <w:pStyle w:val="18"/>
        <w:tabs>
          <w:tab w:val="right" w:leader="dot" w:pos="9641"/>
          <w:tab w:val="clear" w:pos="9639"/>
        </w:tabs>
      </w:pPr>
      <w:r>
        <w:rPr>
          <w:rFonts w:hint="eastAsia"/>
          <w:lang w:eastAsia="zh-CN"/>
        </w:rPr>
        <w:t xml:space="preserve">6.2.5.6 </w:t>
      </w:r>
      <w:r>
        <w:t>Propagation model between ATG BS and ATG UE</w:t>
      </w:r>
      <w:r>
        <w:tab/>
      </w:r>
      <w:r>
        <w:fldChar w:fldCharType="begin"/>
      </w:r>
      <w:r>
        <w:instrText xml:space="preserve"> PAGEREF _Toc9095 \h </w:instrText>
      </w:r>
      <w:r>
        <w:fldChar w:fldCharType="separate"/>
      </w:r>
      <w:r>
        <w:t>29</w:t>
      </w:r>
      <w:r>
        <w:fldChar w:fldCharType="end"/>
      </w:r>
    </w:p>
    <w:p>
      <w:pPr>
        <w:pStyle w:val="19"/>
        <w:tabs>
          <w:tab w:val="right" w:leader="dot" w:pos="9641"/>
          <w:tab w:val="clear" w:pos="9639"/>
        </w:tabs>
      </w:pPr>
      <w:r>
        <w:rPr>
          <w:rFonts w:hint="eastAsia"/>
          <w:lang w:eastAsia="zh-CN"/>
        </w:rPr>
        <w:t xml:space="preserve">6.2.6 </w:t>
      </w:r>
      <w:r>
        <w:rPr>
          <w:lang w:eastAsia="zh-CN"/>
        </w:rPr>
        <w:t>Transmission power control model</w:t>
      </w:r>
      <w:r>
        <w:tab/>
      </w:r>
      <w:r>
        <w:fldChar w:fldCharType="begin"/>
      </w:r>
      <w:r>
        <w:instrText xml:space="preserve"> PAGEREF _Toc21713 \h </w:instrText>
      </w:r>
      <w:r>
        <w:fldChar w:fldCharType="separate"/>
      </w:r>
      <w:r>
        <w:t>29</w:t>
      </w:r>
      <w:r>
        <w:fldChar w:fldCharType="end"/>
      </w:r>
    </w:p>
    <w:p>
      <w:pPr>
        <w:pStyle w:val="18"/>
        <w:tabs>
          <w:tab w:val="right" w:leader="dot" w:pos="9641"/>
          <w:tab w:val="clear" w:pos="9639"/>
        </w:tabs>
      </w:pPr>
      <w:r>
        <w:rPr>
          <w:rFonts w:hint="eastAsia"/>
        </w:rPr>
        <w:t xml:space="preserve">6.2.6.1 </w:t>
      </w:r>
      <w:r>
        <w:t>TN UL TPC</w:t>
      </w:r>
      <w:r>
        <w:tab/>
      </w:r>
      <w:r>
        <w:fldChar w:fldCharType="begin"/>
      </w:r>
      <w:r>
        <w:instrText xml:space="preserve"> PAGEREF _Toc8511 \h </w:instrText>
      </w:r>
      <w:r>
        <w:fldChar w:fldCharType="separate"/>
      </w:r>
      <w:r>
        <w:t>29</w:t>
      </w:r>
      <w:r>
        <w:fldChar w:fldCharType="end"/>
      </w:r>
    </w:p>
    <w:p>
      <w:pPr>
        <w:pStyle w:val="18"/>
        <w:tabs>
          <w:tab w:val="right" w:leader="dot" w:pos="9641"/>
          <w:tab w:val="clear" w:pos="9639"/>
        </w:tabs>
      </w:pPr>
      <w:r>
        <w:rPr>
          <w:rFonts w:hint="eastAsia"/>
        </w:rPr>
        <w:t xml:space="preserve">6.2.6.2 </w:t>
      </w:r>
      <w:r>
        <w:t>TN DL TPC</w:t>
      </w:r>
      <w:r>
        <w:tab/>
      </w:r>
      <w:r>
        <w:fldChar w:fldCharType="begin"/>
      </w:r>
      <w:r>
        <w:instrText xml:space="preserve"> PAGEREF _Toc2497 \h </w:instrText>
      </w:r>
      <w:r>
        <w:fldChar w:fldCharType="separate"/>
      </w:r>
      <w:r>
        <w:t>29</w:t>
      </w:r>
      <w:r>
        <w:fldChar w:fldCharType="end"/>
      </w:r>
    </w:p>
    <w:p>
      <w:pPr>
        <w:pStyle w:val="18"/>
        <w:tabs>
          <w:tab w:val="right" w:leader="dot" w:pos="9641"/>
          <w:tab w:val="clear" w:pos="9639"/>
        </w:tabs>
      </w:pPr>
      <w:r>
        <w:rPr>
          <w:rFonts w:hint="eastAsia"/>
        </w:rPr>
        <w:t xml:space="preserve">6.2.6.3 </w:t>
      </w:r>
      <w:r>
        <w:t>ATG UL TPC</w:t>
      </w:r>
      <w:r>
        <w:tab/>
      </w:r>
      <w:r>
        <w:fldChar w:fldCharType="begin"/>
      </w:r>
      <w:r>
        <w:instrText xml:space="preserve"> PAGEREF _Toc23239 \h </w:instrText>
      </w:r>
      <w:r>
        <w:fldChar w:fldCharType="separate"/>
      </w:r>
      <w:r>
        <w:t>29</w:t>
      </w:r>
      <w:r>
        <w:fldChar w:fldCharType="end"/>
      </w:r>
    </w:p>
    <w:p>
      <w:pPr>
        <w:pStyle w:val="18"/>
        <w:tabs>
          <w:tab w:val="right" w:leader="dot" w:pos="9641"/>
          <w:tab w:val="clear" w:pos="9639"/>
        </w:tabs>
      </w:pPr>
      <w:r>
        <w:rPr>
          <w:rFonts w:hint="eastAsia"/>
        </w:rPr>
        <w:t xml:space="preserve">6.2.6.4 </w:t>
      </w:r>
      <w:r>
        <w:t>ATG DL TPC</w:t>
      </w:r>
      <w:r>
        <w:tab/>
      </w:r>
      <w:r>
        <w:fldChar w:fldCharType="begin"/>
      </w:r>
      <w:r>
        <w:instrText xml:space="preserve"> PAGEREF _Toc11331 \h </w:instrText>
      </w:r>
      <w:r>
        <w:fldChar w:fldCharType="separate"/>
      </w:r>
      <w:r>
        <w:t>30</w:t>
      </w:r>
      <w:r>
        <w:fldChar w:fldCharType="end"/>
      </w:r>
    </w:p>
    <w:p>
      <w:pPr>
        <w:pStyle w:val="19"/>
        <w:tabs>
          <w:tab w:val="right" w:leader="dot" w:pos="9641"/>
          <w:tab w:val="clear" w:pos="9639"/>
        </w:tabs>
      </w:pPr>
      <w:r>
        <w:rPr>
          <w:rFonts w:hint="eastAsia"/>
          <w:lang w:eastAsia="zh-CN"/>
        </w:rPr>
        <w:t xml:space="preserve">6.2.7 </w:t>
      </w:r>
      <w:r>
        <w:rPr>
          <w:lang w:eastAsia="zh-CN"/>
        </w:rPr>
        <w:t>Received power model</w:t>
      </w:r>
      <w:r>
        <w:tab/>
      </w:r>
      <w:r>
        <w:fldChar w:fldCharType="begin"/>
      </w:r>
      <w:r>
        <w:instrText xml:space="preserve"> PAGEREF _Toc32150 \h </w:instrText>
      </w:r>
      <w:r>
        <w:fldChar w:fldCharType="separate"/>
      </w:r>
      <w:r>
        <w:t>30</w:t>
      </w:r>
      <w:r>
        <w:fldChar w:fldCharType="end"/>
      </w:r>
    </w:p>
    <w:p>
      <w:pPr>
        <w:pStyle w:val="19"/>
        <w:tabs>
          <w:tab w:val="right" w:leader="dot" w:pos="9641"/>
          <w:tab w:val="clear" w:pos="9639"/>
        </w:tabs>
      </w:pPr>
      <w:r>
        <w:rPr>
          <w:rFonts w:hint="eastAsia"/>
          <w:lang w:eastAsia="zh-CN"/>
        </w:rPr>
        <w:t xml:space="preserve">6.2.8 </w:t>
      </w:r>
      <w:r>
        <w:rPr>
          <w:lang w:eastAsia="zh-CN"/>
        </w:rPr>
        <w:t>Performance metric</w:t>
      </w:r>
      <w:r>
        <w:tab/>
      </w:r>
      <w:r>
        <w:fldChar w:fldCharType="begin"/>
      </w:r>
      <w:r>
        <w:instrText xml:space="preserve"> PAGEREF _Toc15867 \h </w:instrText>
      </w:r>
      <w:r>
        <w:fldChar w:fldCharType="separate"/>
      </w:r>
      <w:r>
        <w:t>31</w:t>
      </w:r>
      <w:r>
        <w:fldChar w:fldCharType="end"/>
      </w:r>
    </w:p>
    <w:p>
      <w:pPr>
        <w:pStyle w:val="19"/>
        <w:tabs>
          <w:tab w:val="right" w:leader="dot" w:pos="9641"/>
          <w:tab w:val="clear" w:pos="9639"/>
        </w:tabs>
      </w:pPr>
      <w:r>
        <w:rPr>
          <w:rFonts w:hint="eastAsia"/>
          <w:lang w:eastAsia="zh-CN"/>
        </w:rPr>
        <w:t xml:space="preserve">6.2.9 </w:t>
      </w:r>
      <w:r>
        <w:rPr>
          <w:lang w:eastAsia="zh-CN"/>
        </w:rPr>
        <w:t>Link level performance for NR ATG coexistence</w:t>
      </w:r>
      <w:r>
        <w:tab/>
      </w:r>
      <w:r>
        <w:fldChar w:fldCharType="begin"/>
      </w:r>
      <w:r>
        <w:instrText xml:space="preserve"> PAGEREF _Toc3742 \h </w:instrText>
      </w:r>
      <w:r>
        <w:fldChar w:fldCharType="separate"/>
      </w:r>
      <w:r>
        <w:t>31</w:t>
      </w:r>
      <w:r>
        <w:fldChar w:fldCharType="end"/>
      </w:r>
    </w:p>
    <w:p>
      <w:pPr>
        <w:pStyle w:val="20"/>
        <w:tabs>
          <w:tab w:val="right" w:leader="dot" w:pos="9641"/>
          <w:tab w:val="clear" w:pos="9639"/>
        </w:tabs>
      </w:pPr>
      <w:r>
        <w:rPr>
          <w:rFonts w:hint="eastAsia"/>
          <w:lang w:eastAsia="zh-CN"/>
        </w:rPr>
        <w:t xml:space="preserve">6.3 </w:t>
      </w:r>
      <w:r>
        <w:rPr>
          <w:lang w:eastAsia="zh-CN"/>
        </w:rPr>
        <w:t>Co-existence simulation methodology</w:t>
      </w:r>
      <w:r>
        <w:tab/>
      </w:r>
      <w:r>
        <w:fldChar w:fldCharType="begin"/>
      </w:r>
      <w:r>
        <w:instrText xml:space="preserve"> PAGEREF _Toc6764 \h </w:instrText>
      </w:r>
      <w:r>
        <w:fldChar w:fldCharType="separate"/>
      </w:r>
      <w:r>
        <w:t>32</w:t>
      </w:r>
      <w:r>
        <w:fldChar w:fldCharType="end"/>
      </w:r>
    </w:p>
    <w:p>
      <w:pPr>
        <w:pStyle w:val="20"/>
        <w:tabs>
          <w:tab w:val="right" w:leader="dot" w:pos="9641"/>
          <w:tab w:val="clear" w:pos="9639"/>
        </w:tabs>
      </w:pPr>
      <w:r>
        <w:rPr>
          <w:lang w:eastAsia="ja-JP"/>
        </w:rPr>
        <w:t>6.4 Co-existence simulation results</w:t>
      </w:r>
      <w:r>
        <w:tab/>
      </w:r>
      <w:r>
        <w:fldChar w:fldCharType="begin"/>
      </w:r>
      <w:r>
        <w:instrText xml:space="preserve"> PAGEREF _Toc9293 \h </w:instrText>
      </w:r>
      <w:r>
        <w:fldChar w:fldCharType="separate"/>
      </w:r>
      <w:r>
        <w:t>33</w:t>
      </w:r>
      <w:r>
        <w:fldChar w:fldCharType="end"/>
      </w:r>
    </w:p>
    <w:p>
      <w:pPr>
        <w:pStyle w:val="19"/>
        <w:tabs>
          <w:tab w:val="right" w:leader="dot" w:pos="9641"/>
          <w:tab w:val="clear" w:pos="9639"/>
        </w:tabs>
      </w:pPr>
      <w:r>
        <w:t>6.4.1 Synchronized Scenarios</w:t>
      </w:r>
      <w:r>
        <w:tab/>
      </w:r>
      <w:r>
        <w:fldChar w:fldCharType="begin"/>
      </w:r>
      <w:r>
        <w:instrText xml:space="preserve"> PAGEREF _Toc19320 \h </w:instrText>
      </w:r>
      <w:r>
        <w:fldChar w:fldCharType="separate"/>
      </w:r>
      <w:r>
        <w:t>33</w:t>
      </w:r>
      <w:r>
        <w:fldChar w:fldCharType="end"/>
      </w:r>
    </w:p>
    <w:p>
      <w:pPr>
        <w:pStyle w:val="18"/>
        <w:tabs>
          <w:tab w:val="right" w:leader="dot" w:pos="9641"/>
          <w:tab w:val="clear" w:pos="9639"/>
        </w:tabs>
      </w:pPr>
      <w:r>
        <w:rPr>
          <w:lang w:val="sv-SE"/>
        </w:rPr>
        <w:t>6.4.1.1 Scenario 1: 4GHz ATG DL interfering TN DL</w:t>
      </w:r>
      <w:r>
        <w:tab/>
      </w:r>
      <w:r>
        <w:fldChar w:fldCharType="begin"/>
      </w:r>
      <w:r>
        <w:instrText xml:space="preserve"> PAGEREF _Toc24959 \h </w:instrText>
      </w:r>
      <w:r>
        <w:fldChar w:fldCharType="separate"/>
      </w:r>
      <w:r>
        <w:t>33</w:t>
      </w:r>
      <w:r>
        <w:fldChar w:fldCharType="end"/>
      </w:r>
    </w:p>
    <w:p>
      <w:pPr>
        <w:pStyle w:val="17"/>
        <w:tabs>
          <w:tab w:val="right" w:leader="dot" w:pos="9641"/>
          <w:tab w:val="clear" w:pos="9639"/>
        </w:tabs>
      </w:pPr>
      <w:r>
        <w:rPr>
          <w:rFonts w:hint="eastAsia"/>
          <w:lang w:val="en-US" w:eastAsia="zh-CN"/>
        </w:rPr>
        <w:t xml:space="preserve">6.4.1.1.1 </w:t>
      </w:r>
      <w:r>
        <w:t>Non-Subarray model</w:t>
      </w:r>
      <w:r>
        <w:tab/>
      </w:r>
      <w:r>
        <w:fldChar w:fldCharType="begin"/>
      </w:r>
      <w:r>
        <w:instrText xml:space="preserve"> PAGEREF _Toc12038 \h </w:instrText>
      </w:r>
      <w:r>
        <w:fldChar w:fldCharType="separate"/>
      </w:r>
      <w:r>
        <w:t>34</w:t>
      </w:r>
      <w:r>
        <w:fldChar w:fldCharType="end"/>
      </w:r>
    </w:p>
    <w:p>
      <w:pPr>
        <w:pStyle w:val="17"/>
        <w:tabs>
          <w:tab w:val="right" w:leader="dot" w:pos="9641"/>
          <w:tab w:val="clear" w:pos="9639"/>
        </w:tabs>
      </w:pPr>
      <w:r>
        <w:rPr>
          <w:rFonts w:hint="eastAsia"/>
          <w:lang w:val="en-US" w:eastAsia="zh-CN"/>
        </w:rPr>
        <w:t xml:space="preserve">6.4.1.1.2 </w:t>
      </w:r>
      <w:r>
        <w:t>Subarray model</w:t>
      </w:r>
      <w:r>
        <w:tab/>
      </w:r>
      <w:r>
        <w:fldChar w:fldCharType="begin"/>
      </w:r>
      <w:r>
        <w:instrText xml:space="preserve"> PAGEREF _Toc16652 \h </w:instrText>
      </w:r>
      <w:r>
        <w:fldChar w:fldCharType="separate"/>
      </w:r>
      <w:r>
        <w:t>36</w:t>
      </w:r>
      <w:r>
        <w:fldChar w:fldCharType="end"/>
      </w:r>
    </w:p>
    <w:p>
      <w:pPr>
        <w:pStyle w:val="18"/>
        <w:tabs>
          <w:tab w:val="right" w:leader="dot" w:pos="9641"/>
          <w:tab w:val="clear" w:pos="9639"/>
        </w:tabs>
      </w:pPr>
      <w:r>
        <w:rPr>
          <w:lang w:val="sv-SE"/>
        </w:rPr>
        <w:t>6.4.1.2 Scenario 2: 4GHz ATG UL interfering TN UL</w:t>
      </w:r>
      <w:r>
        <w:rPr>
          <w:rFonts w:ascii="Arial" w:hAnsi="Arial" w:cs="Arial"/>
          <w:bCs/>
          <w:szCs w:val="24"/>
          <w:lang w:val="sv-SE"/>
        </w:rPr>
        <w:t xml:space="preserve"> </w:t>
      </w:r>
      <w:r>
        <w:tab/>
      </w:r>
      <w:r>
        <w:fldChar w:fldCharType="begin"/>
      </w:r>
      <w:r>
        <w:instrText xml:space="preserve"> PAGEREF _Toc24275 \h </w:instrText>
      </w:r>
      <w:r>
        <w:fldChar w:fldCharType="separate"/>
      </w:r>
      <w:r>
        <w:t>38</w:t>
      </w:r>
      <w:r>
        <w:fldChar w:fldCharType="end"/>
      </w:r>
    </w:p>
    <w:p>
      <w:pPr>
        <w:pStyle w:val="17"/>
        <w:tabs>
          <w:tab w:val="right" w:leader="dot" w:pos="9641"/>
          <w:tab w:val="clear" w:pos="9639"/>
        </w:tabs>
      </w:pPr>
      <w:r>
        <w:rPr>
          <w:rFonts w:hint="eastAsia"/>
          <w:lang w:val="en-US" w:eastAsia="zh-CN"/>
        </w:rPr>
        <w:t xml:space="preserve">6.4.1.2.1 </w:t>
      </w:r>
      <w:r>
        <w:t>Non-Subarray model</w:t>
      </w:r>
      <w:r>
        <w:tab/>
      </w:r>
      <w:r>
        <w:fldChar w:fldCharType="begin"/>
      </w:r>
      <w:r>
        <w:instrText xml:space="preserve"> PAGEREF _Toc32484 \h </w:instrText>
      </w:r>
      <w:r>
        <w:fldChar w:fldCharType="separate"/>
      </w:r>
      <w:r>
        <w:t>41</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_Toc5038 \h </w:instrText>
      </w:r>
      <w:r>
        <w:fldChar w:fldCharType="separate"/>
      </w:r>
      <w:r>
        <w:t>41</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_Toc4813 \h </w:instrText>
      </w:r>
      <w:r>
        <w:fldChar w:fldCharType="separate"/>
      </w:r>
      <w:r>
        <w:t>42</w:t>
      </w:r>
      <w:r>
        <w:fldChar w:fldCharType="end"/>
      </w:r>
    </w:p>
    <w:p>
      <w:pPr>
        <w:pStyle w:val="17"/>
        <w:tabs>
          <w:tab w:val="right" w:leader="dot" w:pos="9641"/>
          <w:tab w:val="clear" w:pos="9639"/>
        </w:tabs>
      </w:pPr>
      <w:r>
        <w:rPr>
          <w:rFonts w:hint="eastAsia"/>
          <w:lang w:val="en-US" w:eastAsia="zh-CN"/>
        </w:rPr>
        <w:t xml:space="preserve">6.4.1.2.2 </w:t>
      </w:r>
      <w:r>
        <w:t>Subarray model</w:t>
      </w:r>
      <w:r>
        <w:tab/>
      </w:r>
      <w:r>
        <w:fldChar w:fldCharType="begin"/>
      </w:r>
      <w:r>
        <w:instrText xml:space="preserve"> PAGEREF _Toc18352 \h </w:instrText>
      </w:r>
      <w:r>
        <w:fldChar w:fldCharType="separate"/>
      </w:r>
      <w:r>
        <w:t>44</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_Toc4664 \h </w:instrText>
      </w:r>
      <w:r>
        <w:fldChar w:fldCharType="separate"/>
      </w:r>
      <w:r>
        <w:t>44</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_Toc14135 \h </w:instrText>
      </w:r>
      <w:r>
        <w:fldChar w:fldCharType="separate"/>
      </w:r>
      <w:r>
        <w:t>46</w:t>
      </w:r>
      <w:r>
        <w:fldChar w:fldCharType="end"/>
      </w:r>
    </w:p>
    <w:p>
      <w:pPr>
        <w:pStyle w:val="18"/>
        <w:tabs>
          <w:tab w:val="right" w:leader="dot" w:pos="9641"/>
          <w:tab w:val="clear" w:pos="9639"/>
        </w:tabs>
      </w:pPr>
      <w:r>
        <w:rPr>
          <w:lang w:val="sv-SE"/>
        </w:rPr>
        <w:t>6.4.1.3 Scenario 3: 4GHz TN DL interfering ATG DL</w:t>
      </w:r>
      <w:r>
        <w:tab/>
      </w:r>
      <w:r>
        <w:fldChar w:fldCharType="begin"/>
      </w:r>
      <w:r>
        <w:instrText xml:space="preserve"> PAGEREF _Toc14815 \h </w:instrText>
      </w:r>
      <w:r>
        <w:fldChar w:fldCharType="separate"/>
      </w:r>
      <w:r>
        <w:t>48</w:t>
      </w:r>
      <w:r>
        <w:fldChar w:fldCharType="end"/>
      </w:r>
    </w:p>
    <w:p>
      <w:pPr>
        <w:pStyle w:val="17"/>
        <w:tabs>
          <w:tab w:val="right" w:leader="dot" w:pos="9641"/>
          <w:tab w:val="clear" w:pos="9639"/>
        </w:tabs>
      </w:pPr>
      <w:r>
        <w:rPr>
          <w:rFonts w:hint="eastAsia"/>
          <w:lang w:val="en-US" w:eastAsia="zh-CN"/>
        </w:rPr>
        <w:t xml:space="preserve">6.4.1.3.1 </w:t>
      </w:r>
      <w:r>
        <w:t>Non-Subarray model</w:t>
      </w:r>
      <w:r>
        <w:tab/>
      </w:r>
      <w:r>
        <w:fldChar w:fldCharType="begin"/>
      </w:r>
      <w:r>
        <w:instrText xml:space="preserve"> PAGEREF _Toc7849 \h </w:instrText>
      </w:r>
      <w:r>
        <w:fldChar w:fldCharType="separate"/>
      </w:r>
      <w:r>
        <w:t>49</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_Toc9461 \h </w:instrText>
      </w:r>
      <w:r>
        <w:fldChar w:fldCharType="separate"/>
      </w:r>
      <w:r>
        <w:t>49</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_Toc17220 \h </w:instrText>
      </w:r>
      <w:r>
        <w:fldChar w:fldCharType="separate"/>
      </w:r>
      <w:r>
        <w:t>50</w:t>
      </w:r>
      <w:r>
        <w:fldChar w:fldCharType="end"/>
      </w:r>
    </w:p>
    <w:p>
      <w:pPr>
        <w:pStyle w:val="17"/>
        <w:tabs>
          <w:tab w:val="right" w:leader="dot" w:pos="9641"/>
          <w:tab w:val="clear" w:pos="9639"/>
        </w:tabs>
      </w:pPr>
      <w:r>
        <w:rPr>
          <w:rFonts w:hint="eastAsia"/>
          <w:lang w:val="en-US" w:eastAsia="zh-CN"/>
        </w:rPr>
        <w:t xml:space="preserve">6.4.1.3.2 </w:t>
      </w:r>
      <w:r>
        <w:t>Subarray model</w:t>
      </w:r>
      <w:r>
        <w:tab/>
      </w:r>
      <w:r>
        <w:fldChar w:fldCharType="begin"/>
      </w:r>
      <w:r>
        <w:instrText xml:space="preserve"> PAGEREF _Toc10033 \h </w:instrText>
      </w:r>
      <w:r>
        <w:fldChar w:fldCharType="separate"/>
      </w:r>
      <w:r>
        <w:t>51</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_Toc1932 \h </w:instrText>
      </w:r>
      <w:r>
        <w:fldChar w:fldCharType="separate"/>
      </w:r>
      <w:r>
        <w:t>51</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_Toc10250 \h </w:instrText>
      </w:r>
      <w:r>
        <w:fldChar w:fldCharType="separate"/>
      </w:r>
      <w:r>
        <w:t>52</w:t>
      </w:r>
      <w:r>
        <w:fldChar w:fldCharType="end"/>
      </w:r>
    </w:p>
    <w:p>
      <w:pPr>
        <w:pStyle w:val="18"/>
        <w:tabs>
          <w:tab w:val="right" w:leader="dot" w:pos="9641"/>
          <w:tab w:val="clear" w:pos="9639"/>
        </w:tabs>
      </w:pPr>
      <w:r>
        <w:rPr>
          <w:lang w:val="sv-SE"/>
        </w:rPr>
        <w:t>6.4.1.4 Scenario 4: 4GHz TN UL interfering ATG UL</w:t>
      </w:r>
      <w:r>
        <w:tab/>
      </w:r>
      <w:r>
        <w:fldChar w:fldCharType="begin"/>
      </w:r>
      <w:r>
        <w:instrText xml:space="preserve"> PAGEREF _Toc4118 \h </w:instrText>
      </w:r>
      <w:r>
        <w:fldChar w:fldCharType="separate"/>
      </w:r>
      <w:r>
        <w:t>53</w:t>
      </w:r>
      <w:r>
        <w:fldChar w:fldCharType="end"/>
      </w:r>
    </w:p>
    <w:p>
      <w:pPr>
        <w:pStyle w:val="17"/>
        <w:tabs>
          <w:tab w:val="right" w:leader="dot" w:pos="9641"/>
          <w:tab w:val="clear" w:pos="9639"/>
        </w:tabs>
      </w:pPr>
      <w:r>
        <w:rPr>
          <w:rFonts w:hint="eastAsia"/>
          <w:lang w:val="en-US" w:eastAsia="zh-CN"/>
        </w:rPr>
        <w:t xml:space="preserve">6.4.1.4.1 </w:t>
      </w:r>
      <w:r>
        <w:t>Non-Subarray model</w:t>
      </w:r>
      <w:r>
        <w:tab/>
      </w:r>
      <w:r>
        <w:fldChar w:fldCharType="begin"/>
      </w:r>
      <w:r>
        <w:instrText xml:space="preserve"> PAGEREF _Toc4301 \h </w:instrText>
      </w:r>
      <w:r>
        <w:fldChar w:fldCharType="separate"/>
      </w:r>
      <w:r>
        <w:t>54</w:t>
      </w:r>
      <w:r>
        <w:fldChar w:fldCharType="end"/>
      </w:r>
    </w:p>
    <w:p>
      <w:pPr>
        <w:pStyle w:val="17"/>
        <w:tabs>
          <w:tab w:val="right" w:leader="dot" w:pos="9641"/>
          <w:tab w:val="clear" w:pos="9639"/>
        </w:tabs>
      </w:pPr>
      <w:r>
        <w:rPr>
          <w:rFonts w:hint="eastAsia"/>
          <w:lang w:val="en-US" w:eastAsia="zh-CN"/>
        </w:rPr>
        <w:t xml:space="preserve">6.4.1.4.2 </w:t>
      </w:r>
      <w:r>
        <w:t>Subarray model</w:t>
      </w:r>
      <w:r>
        <w:tab/>
      </w:r>
      <w:r>
        <w:fldChar w:fldCharType="begin"/>
      </w:r>
      <w:r>
        <w:instrText xml:space="preserve"> PAGEREF _Toc25539 \h </w:instrText>
      </w:r>
      <w:r>
        <w:fldChar w:fldCharType="separate"/>
      </w:r>
      <w:r>
        <w:t>55</w:t>
      </w:r>
      <w:r>
        <w:fldChar w:fldCharType="end"/>
      </w:r>
    </w:p>
    <w:p>
      <w:pPr>
        <w:pStyle w:val="18"/>
        <w:tabs>
          <w:tab w:val="right" w:leader="dot" w:pos="9641"/>
          <w:tab w:val="clear" w:pos="9639"/>
        </w:tabs>
      </w:pPr>
      <w:r>
        <w:rPr>
          <w:lang w:val="sv-SE"/>
        </w:rPr>
        <w:t>6.4.1.5 Scenario 9: 2GHz ATG DL interfering TN DL</w:t>
      </w:r>
      <w:r>
        <w:tab/>
      </w:r>
      <w:r>
        <w:fldChar w:fldCharType="begin"/>
      </w:r>
      <w:r>
        <w:instrText xml:space="preserve"> PAGEREF _Toc11391 \h </w:instrText>
      </w:r>
      <w:r>
        <w:fldChar w:fldCharType="separate"/>
      </w:r>
      <w:r>
        <w:t>56</w:t>
      </w:r>
      <w:r>
        <w:fldChar w:fldCharType="end"/>
      </w:r>
    </w:p>
    <w:p>
      <w:pPr>
        <w:pStyle w:val="17"/>
        <w:tabs>
          <w:tab w:val="right" w:leader="dot" w:pos="9641"/>
          <w:tab w:val="clear" w:pos="9639"/>
        </w:tabs>
      </w:pPr>
      <w:r>
        <w:rPr>
          <w:rFonts w:hint="eastAsia"/>
          <w:lang w:val="en-US" w:eastAsia="zh-CN"/>
        </w:rPr>
        <w:t xml:space="preserve">6.4.1.5.1 </w:t>
      </w:r>
      <w:r>
        <w:t>Non-Subarray model</w:t>
      </w:r>
      <w:r>
        <w:tab/>
      </w:r>
      <w:r>
        <w:fldChar w:fldCharType="begin"/>
      </w:r>
      <w:r>
        <w:instrText xml:space="preserve"> PAGEREF _Toc2722 \h </w:instrText>
      </w:r>
      <w:r>
        <w:fldChar w:fldCharType="separate"/>
      </w:r>
      <w:r>
        <w:t>57</w:t>
      </w:r>
      <w:r>
        <w:fldChar w:fldCharType="end"/>
      </w:r>
    </w:p>
    <w:p>
      <w:pPr>
        <w:pStyle w:val="17"/>
        <w:tabs>
          <w:tab w:val="right" w:leader="dot" w:pos="9641"/>
          <w:tab w:val="clear" w:pos="9639"/>
        </w:tabs>
      </w:pPr>
      <w:r>
        <w:rPr>
          <w:rFonts w:hint="eastAsia"/>
          <w:lang w:val="en-US" w:eastAsia="zh-CN"/>
        </w:rPr>
        <w:t xml:space="preserve">6.4.1.5.2 </w:t>
      </w:r>
      <w:r>
        <w:t>Subarray model</w:t>
      </w:r>
      <w:r>
        <w:tab/>
      </w:r>
      <w:r>
        <w:fldChar w:fldCharType="begin"/>
      </w:r>
      <w:r>
        <w:instrText xml:space="preserve"> PAGEREF _Toc4003 \h </w:instrText>
      </w:r>
      <w:r>
        <w:fldChar w:fldCharType="separate"/>
      </w:r>
      <w:r>
        <w:t>59</w:t>
      </w:r>
      <w:r>
        <w:fldChar w:fldCharType="end"/>
      </w:r>
    </w:p>
    <w:p>
      <w:pPr>
        <w:pStyle w:val="18"/>
        <w:tabs>
          <w:tab w:val="right" w:leader="dot" w:pos="9641"/>
          <w:tab w:val="clear" w:pos="9639"/>
        </w:tabs>
      </w:pPr>
      <w:r>
        <w:rPr>
          <w:lang w:val="sv-SE"/>
        </w:rPr>
        <w:t>6.4.1.6 Scenario 10: 2GHz ATG UL interfering TN UL</w:t>
      </w:r>
      <w:r>
        <w:tab/>
      </w:r>
      <w:r>
        <w:fldChar w:fldCharType="begin"/>
      </w:r>
      <w:r>
        <w:instrText xml:space="preserve"> PAGEREF _Toc2323 \h </w:instrText>
      </w:r>
      <w:r>
        <w:fldChar w:fldCharType="separate"/>
      </w:r>
      <w:r>
        <w:t>61</w:t>
      </w:r>
      <w:r>
        <w:fldChar w:fldCharType="end"/>
      </w:r>
    </w:p>
    <w:p>
      <w:pPr>
        <w:pStyle w:val="17"/>
        <w:tabs>
          <w:tab w:val="right" w:leader="dot" w:pos="9641"/>
          <w:tab w:val="clear" w:pos="9639"/>
        </w:tabs>
      </w:pPr>
      <w:r>
        <w:rPr>
          <w:rFonts w:hint="eastAsia"/>
          <w:lang w:val="en-US" w:eastAsia="zh-CN"/>
        </w:rPr>
        <w:t xml:space="preserve">6.4.1.6.1 </w:t>
      </w:r>
      <w:r>
        <w:t>Non-Subarray model</w:t>
      </w:r>
      <w:r>
        <w:tab/>
      </w:r>
      <w:r>
        <w:fldChar w:fldCharType="begin"/>
      </w:r>
      <w:r>
        <w:instrText xml:space="preserve"> PAGEREF _Toc3931 \h </w:instrText>
      </w:r>
      <w:r>
        <w:fldChar w:fldCharType="separate"/>
      </w:r>
      <w:r>
        <w:t>63</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_Toc16615 \h </w:instrText>
      </w:r>
      <w:r>
        <w:fldChar w:fldCharType="separate"/>
      </w:r>
      <w:r>
        <w:t>63</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_Toc19080 \h </w:instrText>
      </w:r>
      <w:r>
        <w:fldChar w:fldCharType="separate"/>
      </w:r>
      <w:r>
        <w:t>65</w:t>
      </w:r>
      <w:r>
        <w:fldChar w:fldCharType="end"/>
      </w:r>
    </w:p>
    <w:p>
      <w:pPr>
        <w:pStyle w:val="17"/>
        <w:tabs>
          <w:tab w:val="right" w:leader="dot" w:pos="9641"/>
          <w:tab w:val="clear" w:pos="9639"/>
        </w:tabs>
      </w:pPr>
      <w:r>
        <w:rPr>
          <w:rFonts w:hint="eastAsia"/>
          <w:lang w:val="en-US" w:eastAsia="zh-CN"/>
        </w:rPr>
        <w:t xml:space="preserve">6.4.1.6.2 </w:t>
      </w:r>
      <w:r>
        <w:t>Subarray model</w:t>
      </w:r>
      <w:r>
        <w:tab/>
      </w:r>
      <w:r>
        <w:fldChar w:fldCharType="begin"/>
      </w:r>
      <w:r>
        <w:instrText xml:space="preserve"> PAGEREF _Toc20618 \h </w:instrText>
      </w:r>
      <w:r>
        <w:fldChar w:fldCharType="separate"/>
      </w:r>
      <w:r>
        <w:t>67</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_Toc7366 \h </w:instrText>
      </w:r>
      <w:r>
        <w:fldChar w:fldCharType="separate"/>
      </w:r>
      <w:r>
        <w:t>67</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_Toc2174 \h </w:instrText>
      </w:r>
      <w:r>
        <w:fldChar w:fldCharType="separate"/>
      </w:r>
      <w:r>
        <w:t>69</w:t>
      </w:r>
      <w:r>
        <w:fldChar w:fldCharType="end"/>
      </w:r>
    </w:p>
    <w:p>
      <w:pPr>
        <w:pStyle w:val="18"/>
        <w:tabs>
          <w:tab w:val="right" w:leader="dot" w:pos="9641"/>
          <w:tab w:val="clear" w:pos="9639"/>
        </w:tabs>
      </w:pPr>
      <w:r>
        <w:rPr>
          <w:lang w:val="sv-SE"/>
        </w:rPr>
        <w:t>6.4.1.7 Scenario 11: 2GHz TN DL interfering ATG DL</w:t>
      </w:r>
      <w:r>
        <w:tab/>
      </w:r>
      <w:r>
        <w:fldChar w:fldCharType="begin"/>
      </w:r>
      <w:r>
        <w:instrText xml:space="preserve"> PAGEREF _Toc21118 \h </w:instrText>
      </w:r>
      <w:r>
        <w:fldChar w:fldCharType="separate"/>
      </w:r>
      <w:r>
        <w:t>71</w:t>
      </w:r>
      <w:r>
        <w:fldChar w:fldCharType="end"/>
      </w:r>
    </w:p>
    <w:p>
      <w:pPr>
        <w:pStyle w:val="17"/>
        <w:tabs>
          <w:tab w:val="right" w:leader="dot" w:pos="9641"/>
          <w:tab w:val="clear" w:pos="9639"/>
        </w:tabs>
      </w:pPr>
      <w:r>
        <w:rPr>
          <w:rFonts w:hint="eastAsia"/>
          <w:lang w:val="en-US" w:eastAsia="zh-CN"/>
        </w:rPr>
        <w:t xml:space="preserve">6.4.1.7.1 </w:t>
      </w:r>
      <w:r>
        <w:t>Non-Subarray model</w:t>
      </w:r>
      <w:r>
        <w:tab/>
      </w:r>
      <w:r>
        <w:fldChar w:fldCharType="begin"/>
      </w:r>
      <w:r>
        <w:instrText xml:space="preserve"> PAGEREF _Toc4530 \h </w:instrText>
      </w:r>
      <w:r>
        <w:fldChar w:fldCharType="separate"/>
      </w:r>
      <w:r>
        <w:t>72</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_Toc28267 \h </w:instrText>
      </w:r>
      <w:r>
        <w:fldChar w:fldCharType="separate"/>
      </w:r>
      <w:r>
        <w:t>72</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_Toc29555 \h </w:instrText>
      </w:r>
      <w:r>
        <w:fldChar w:fldCharType="separate"/>
      </w:r>
      <w:r>
        <w:t>73</w:t>
      </w:r>
      <w:r>
        <w:fldChar w:fldCharType="end"/>
      </w:r>
    </w:p>
    <w:p>
      <w:pPr>
        <w:pStyle w:val="17"/>
        <w:tabs>
          <w:tab w:val="right" w:leader="dot" w:pos="9641"/>
          <w:tab w:val="clear" w:pos="9639"/>
        </w:tabs>
      </w:pPr>
      <w:r>
        <w:rPr>
          <w:rFonts w:hint="eastAsia"/>
          <w:lang w:val="en-US" w:eastAsia="zh-CN"/>
        </w:rPr>
        <w:t xml:space="preserve">6.4.1.7.2 </w:t>
      </w:r>
      <w:r>
        <w:t>Subarray model</w:t>
      </w:r>
      <w:r>
        <w:tab/>
      </w:r>
      <w:r>
        <w:fldChar w:fldCharType="begin"/>
      </w:r>
      <w:r>
        <w:instrText xml:space="preserve"> PAGEREF _Toc5174 \h </w:instrText>
      </w:r>
      <w:r>
        <w:fldChar w:fldCharType="separate"/>
      </w:r>
      <w:r>
        <w:t>74</w:t>
      </w:r>
      <w:r>
        <w:fldChar w:fldCharType="end"/>
      </w:r>
    </w:p>
    <w:p>
      <w:pPr>
        <w:pStyle w:val="16"/>
        <w:tabs>
          <w:tab w:val="right" w:leader="dot" w:pos="9641"/>
          <w:tab w:val="clear" w:pos="9639"/>
        </w:tabs>
      </w:pPr>
      <w:r>
        <w:t>Maximum distance between ATG BS and ATG UE is 100 km</w:t>
      </w:r>
      <w:r>
        <w:tab/>
      </w:r>
      <w:r>
        <w:fldChar w:fldCharType="begin"/>
      </w:r>
      <w:r>
        <w:instrText xml:space="preserve"> PAGEREF _Toc2336 \h </w:instrText>
      </w:r>
      <w:r>
        <w:fldChar w:fldCharType="separate"/>
      </w:r>
      <w:r>
        <w:t>74</w:t>
      </w:r>
      <w:r>
        <w:fldChar w:fldCharType="end"/>
      </w:r>
    </w:p>
    <w:p>
      <w:pPr>
        <w:pStyle w:val="16"/>
        <w:tabs>
          <w:tab w:val="right" w:leader="dot" w:pos="9641"/>
          <w:tab w:val="clear" w:pos="9639"/>
        </w:tabs>
      </w:pPr>
      <w:r>
        <w:t>Maximum distance between ATG BS and ATG UE is 300 km</w:t>
      </w:r>
      <w:r>
        <w:tab/>
      </w:r>
      <w:r>
        <w:fldChar w:fldCharType="begin"/>
      </w:r>
      <w:r>
        <w:instrText xml:space="preserve"> PAGEREF _Toc1875 \h </w:instrText>
      </w:r>
      <w:r>
        <w:fldChar w:fldCharType="separate"/>
      </w:r>
      <w:r>
        <w:t>75</w:t>
      </w:r>
      <w:r>
        <w:fldChar w:fldCharType="end"/>
      </w:r>
    </w:p>
    <w:p>
      <w:pPr>
        <w:pStyle w:val="18"/>
        <w:tabs>
          <w:tab w:val="right" w:leader="dot" w:pos="9641"/>
          <w:tab w:val="clear" w:pos="9639"/>
        </w:tabs>
      </w:pPr>
      <w:r>
        <w:rPr>
          <w:lang w:val="sv-SE"/>
        </w:rPr>
        <w:t>6.4.1.8 Scenario 12: 2GHz TN UL interfering ATG UL</w:t>
      </w:r>
      <w:r>
        <w:tab/>
      </w:r>
      <w:r>
        <w:fldChar w:fldCharType="begin"/>
      </w:r>
      <w:r>
        <w:instrText xml:space="preserve"> PAGEREF _Toc723 \h </w:instrText>
      </w:r>
      <w:r>
        <w:fldChar w:fldCharType="separate"/>
      </w:r>
      <w:r>
        <w:t>76</w:t>
      </w:r>
      <w:r>
        <w:fldChar w:fldCharType="end"/>
      </w:r>
    </w:p>
    <w:p>
      <w:pPr>
        <w:pStyle w:val="17"/>
        <w:tabs>
          <w:tab w:val="right" w:leader="dot" w:pos="9641"/>
          <w:tab w:val="clear" w:pos="9639"/>
        </w:tabs>
      </w:pPr>
      <w:r>
        <w:rPr>
          <w:rFonts w:hint="eastAsia"/>
          <w:lang w:val="en-US" w:eastAsia="zh-CN"/>
        </w:rPr>
        <w:t xml:space="preserve">6.4.1.8.1 </w:t>
      </w:r>
      <w:r>
        <w:t>Non-Subarray model</w:t>
      </w:r>
      <w:r>
        <w:tab/>
      </w:r>
      <w:r>
        <w:fldChar w:fldCharType="begin"/>
      </w:r>
      <w:r>
        <w:instrText xml:space="preserve"> PAGEREF _Toc4280 \h </w:instrText>
      </w:r>
      <w:r>
        <w:fldChar w:fldCharType="separate"/>
      </w:r>
      <w:r>
        <w:t>77</w:t>
      </w:r>
      <w:r>
        <w:fldChar w:fldCharType="end"/>
      </w:r>
    </w:p>
    <w:p>
      <w:pPr>
        <w:pStyle w:val="17"/>
        <w:tabs>
          <w:tab w:val="right" w:leader="dot" w:pos="9641"/>
          <w:tab w:val="clear" w:pos="9639"/>
        </w:tabs>
      </w:pPr>
      <w:r>
        <w:rPr>
          <w:rFonts w:hint="eastAsia"/>
          <w:lang w:val="en-US" w:eastAsia="zh-CN"/>
        </w:rPr>
        <w:t xml:space="preserve">6.4.1.8.2 </w:t>
      </w:r>
      <w:r>
        <w:t>Subarray model</w:t>
      </w:r>
      <w:r>
        <w:tab/>
      </w:r>
      <w:r>
        <w:fldChar w:fldCharType="begin"/>
      </w:r>
      <w:r>
        <w:instrText xml:space="preserve"> PAGEREF _Toc32201 \h </w:instrText>
      </w:r>
      <w:r>
        <w:fldChar w:fldCharType="separate"/>
      </w:r>
      <w:r>
        <w:t>77</w:t>
      </w:r>
      <w:r>
        <w:fldChar w:fldCharType="end"/>
      </w:r>
    </w:p>
    <w:p>
      <w:pPr>
        <w:pStyle w:val="19"/>
        <w:tabs>
          <w:tab w:val="right" w:leader="dot" w:pos="9641"/>
          <w:tab w:val="clear" w:pos="9639"/>
        </w:tabs>
      </w:pPr>
      <w:r>
        <w:t>6.4.2 Non-synchronized Scenarios</w:t>
      </w:r>
      <w:r>
        <w:tab/>
      </w:r>
      <w:r>
        <w:fldChar w:fldCharType="begin"/>
      </w:r>
      <w:r>
        <w:instrText xml:space="preserve"> PAGEREF _Toc27270 \h </w:instrText>
      </w:r>
      <w:r>
        <w:fldChar w:fldCharType="separate"/>
      </w:r>
      <w:r>
        <w:t>78</w:t>
      </w:r>
      <w:r>
        <w:fldChar w:fldCharType="end"/>
      </w:r>
    </w:p>
    <w:p>
      <w:pPr>
        <w:pStyle w:val="18"/>
        <w:tabs>
          <w:tab w:val="right" w:leader="dot" w:pos="9641"/>
          <w:tab w:val="clear" w:pos="9639"/>
        </w:tabs>
      </w:pPr>
      <w:r>
        <w:t>6.4.2.1 Scenario 5: 4GHz ATG DL interfering TN UL</w:t>
      </w:r>
      <w:r>
        <w:tab/>
      </w:r>
      <w:r>
        <w:fldChar w:fldCharType="begin"/>
      </w:r>
      <w:r>
        <w:instrText xml:space="preserve"> PAGEREF _Toc24561 \h </w:instrText>
      </w:r>
      <w:r>
        <w:fldChar w:fldCharType="separate"/>
      </w:r>
      <w:r>
        <w:t>78</w:t>
      </w:r>
      <w:r>
        <w:fldChar w:fldCharType="end"/>
      </w:r>
    </w:p>
    <w:p>
      <w:pPr>
        <w:pStyle w:val="17"/>
        <w:tabs>
          <w:tab w:val="right" w:leader="dot" w:pos="9641"/>
          <w:tab w:val="clear" w:pos="9639"/>
        </w:tabs>
      </w:pPr>
      <w:r>
        <w:t>6.4.2.1.1 Using FSPL model</w:t>
      </w:r>
      <w:r>
        <w:tab/>
      </w:r>
      <w:r>
        <w:fldChar w:fldCharType="begin"/>
      </w:r>
      <w:r>
        <w:instrText xml:space="preserve"> PAGEREF _Toc1657 \h </w:instrText>
      </w:r>
      <w:r>
        <w:fldChar w:fldCharType="separate"/>
      </w:r>
      <w:r>
        <w:t>78</w:t>
      </w:r>
      <w:r>
        <w:fldChar w:fldCharType="end"/>
      </w:r>
    </w:p>
    <w:p>
      <w:pPr>
        <w:pStyle w:val="17"/>
        <w:tabs>
          <w:tab w:val="right" w:leader="dot" w:pos="9641"/>
          <w:tab w:val="clear" w:pos="9639"/>
        </w:tabs>
      </w:pPr>
      <w:r>
        <w:t>6.4.2.1.2 Using RMa model in TR 38.901 with updating hUT as 30m</w:t>
      </w:r>
      <w:r>
        <w:tab/>
      </w:r>
      <w:r>
        <w:fldChar w:fldCharType="begin"/>
      </w:r>
      <w:r>
        <w:instrText xml:space="preserve"> PAGEREF _Toc4473 \h </w:instrText>
      </w:r>
      <w:r>
        <w:fldChar w:fldCharType="separate"/>
      </w:r>
      <w:r>
        <w:t>79</w:t>
      </w:r>
      <w:r>
        <w:fldChar w:fldCharType="end"/>
      </w:r>
    </w:p>
    <w:p>
      <w:pPr>
        <w:pStyle w:val="18"/>
        <w:tabs>
          <w:tab w:val="right" w:leader="dot" w:pos="9641"/>
          <w:tab w:val="clear" w:pos="9639"/>
        </w:tabs>
      </w:pPr>
      <w:r>
        <w:rPr>
          <w:lang w:val="sv-SE"/>
        </w:rPr>
        <w:t>6.4.2.2 Scenario 6: 4GHz TN UL interfering TN DL</w:t>
      </w:r>
      <w:r>
        <w:tab/>
      </w:r>
      <w:r>
        <w:fldChar w:fldCharType="begin"/>
      </w:r>
      <w:r>
        <w:instrText xml:space="preserve"> PAGEREF _Toc31711 \h </w:instrText>
      </w:r>
      <w:r>
        <w:fldChar w:fldCharType="separate"/>
      </w:r>
      <w:r>
        <w:t>80</w:t>
      </w:r>
      <w:r>
        <w:fldChar w:fldCharType="end"/>
      </w:r>
    </w:p>
    <w:p>
      <w:pPr>
        <w:pStyle w:val="18"/>
        <w:tabs>
          <w:tab w:val="right" w:leader="dot" w:pos="9641"/>
          <w:tab w:val="clear" w:pos="9639"/>
        </w:tabs>
      </w:pPr>
      <w:r>
        <w:rPr>
          <w:lang w:val="sv-SE"/>
        </w:rPr>
        <w:t>6.4.2.3 Scenario 7: 4GHz TN DL interfering ATG UL</w:t>
      </w:r>
      <w:r>
        <w:tab/>
      </w:r>
      <w:r>
        <w:fldChar w:fldCharType="begin"/>
      </w:r>
      <w:r>
        <w:instrText xml:space="preserve"> PAGEREF _Toc17638 \h </w:instrText>
      </w:r>
      <w:r>
        <w:fldChar w:fldCharType="separate"/>
      </w:r>
      <w:r>
        <w:t>80</w:t>
      </w:r>
      <w:r>
        <w:fldChar w:fldCharType="end"/>
      </w:r>
    </w:p>
    <w:p>
      <w:pPr>
        <w:pStyle w:val="17"/>
        <w:tabs>
          <w:tab w:val="right" w:leader="dot" w:pos="9641"/>
          <w:tab w:val="clear" w:pos="9639"/>
        </w:tabs>
      </w:pPr>
      <w:r>
        <w:t>6.4.2.3.1 Using FSPL model</w:t>
      </w:r>
      <w:r>
        <w:tab/>
      </w:r>
      <w:r>
        <w:fldChar w:fldCharType="begin"/>
      </w:r>
      <w:r>
        <w:instrText xml:space="preserve"> PAGEREF _Toc4569 \h </w:instrText>
      </w:r>
      <w:r>
        <w:fldChar w:fldCharType="separate"/>
      </w:r>
      <w:r>
        <w:t>80</w:t>
      </w:r>
      <w:r>
        <w:fldChar w:fldCharType="end"/>
      </w:r>
    </w:p>
    <w:p>
      <w:pPr>
        <w:pStyle w:val="17"/>
        <w:tabs>
          <w:tab w:val="right" w:leader="dot" w:pos="9641"/>
          <w:tab w:val="clear" w:pos="9639"/>
        </w:tabs>
      </w:pPr>
      <w:r>
        <w:t>6.4.2.3.2 Using RMa model in TR 38.901 with updating hUT as 30m</w:t>
      </w:r>
      <w:r>
        <w:tab/>
      </w:r>
      <w:r>
        <w:fldChar w:fldCharType="begin"/>
      </w:r>
      <w:r>
        <w:instrText xml:space="preserve"> PAGEREF _Toc12507 \h </w:instrText>
      </w:r>
      <w:r>
        <w:fldChar w:fldCharType="separate"/>
      </w:r>
      <w:r>
        <w:t>81</w:t>
      </w:r>
      <w:r>
        <w:fldChar w:fldCharType="end"/>
      </w:r>
    </w:p>
    <w:p>
      <w:pPr>
        <w:pStyle w:val="18"/>
        <w:tabs>
          <w:tab w:val="right" w:leader="dot" w:pos="9641"/>
          <w:tab w:val="clear" w:pos="9639"/>
        </w:tabs>
      </w:pPr>
      <w:r>
        <w:rPr>
          <w:lang w:val="sv-SE"/>
        </w:rPr>
        <w:t>6.4.2.4 Scenario 8: 4GHz TN UL interfering TN DL</w:t>
      </w:r>
      <w:r>
        <w:tab/>
      </w:r>
      <w:r>
        <w:fldChar w:fldCharType="begin"/>
      </w:r>
      <w:r>
        <w:instrText xml:space="preserve"> PAGEREF _Toc2162 \h </w:instrText>
      </w:r>
      <w:r>
        <w:fldChar w:fldCharType="separate"/>
      </w:r>
      <w:r>
        <w:t>81</w:t>
      </w:r>
      <w:r>
        <w:fldChar w:fldCharType="end"/>
      </w:r>
    </w:p>
    <w:p>
      <w:pPr>
        <w:pStyle w:val="18"/>
        <w:tabs>
          <w:tab w:val="right" w:leader="dot" w:pos="9641"/>
          <w:tab w:val="clear" w:pos="9639"/>
        </w:tabs>
      </w:pPr>
      <w:r>
        <w:rPr>
          <w:lang w:val="sv-SE"/>
        </w:rPr>
        <w:t>6.4.2.5 Scenario 13: 4GHz TN UL interfering TN DL</w:t>
      </w:r>
      <w:r>
        <w:tab/>
      </w:r>
      <w:r>
        <w:fldChar w:fldCharType="begin"/>
      </w:r>
      <w:r>
        <w:instrText xml:space="preserve"> PAGEREF _Toc32681 \h </w:instrText>
      </w:r>
      <w:r>
        <w:fldChar w:fldCharType="separate"/>
      </w:r>
      <w:r>
        <w:t>81</w:t>
      </w:r>
      <w:r>
        <w:fldChar w:fldCharType="end"/>
      </w:r>
    </w:p>
    <w:p>
      <w:pPr>
        <w:pStyle w:val="18"/>
        <w:tabs>
          <w:tab w:val="right" w:leader="dot" w:pos="9641"/>
          <w:tab w:val="clear" w:pos="9639"/>
        </w:tabs>
      </w:pPr>
      <w:r>
        <w:rPr>
          <w:lang w:val="sv-SE"/>
        </w:rPr>
        <w:t>6.4.2.6 Scenario 14: 2GHz TN DL interfering ATG UL</w:t>
      </w:r>
      <w:r>
        <w:tab/>
      </w:r>
      <w:r>
        <w:fldChar w:fldCharType="begin"/>
      </w:r>
      <w:r>
        <w:instrText xml:space="preserve"> PAGEREF _Toc13009 \h </w:instrText>
      </w:r>
      <w:r>
        <w:fldChar w:fldCharType="separate"/>
      </w:r>
      <w:r>
        <w:t>81</w:t>
      </w:r>
      <w:r>
        <w:fldChar w:fldCharType="end"/>
      </w:r>
    </w:p>
    <w:p>
      <w:pPr>
        <w:pStyle w:val="17"/>
        <w:tabs>
          <w:tab w:val="right" w:leader="dot" w:pos="9641"/>
          <w:tab w:val="clear" w:pos="9639"/>
        </w:tabs>
      </w:pPr>
      <w:r>
        <w:t>6.4.2.6.1 Using FSPL model</w:t>
      </w:r>
      <w:r>
        <w:tab/>
      </w:r>
      <w:r>
        <w:fldChar w:fldCharType="begin"/>
      </w:r>
      <w:r>
        <w:instrText xml:space="preserve"> PAGEREF _Toc5030 \h </w:instrText>
      </w:r>
      <w:r>
        <w:fldChar w:fldCharType="separate"/>
      </w:r>
      <w:r>
        <w:t>81</w:t>
      </w:r>
      <w:r>
        <w:fldChar w:fldCharType="end"/>
      </w:r>
    </w:p>
    <w:p>
      <w:pPr>
        <w:pStyle w:val="17"/>
        <w:tabs>
          <w:tab w:val="right" w:leader="dot" w:pos="9641"/>
          <w:tab w:val="clear" w:pos="9639"/>
        </w:tabs>
      </w:pPr>
      <w:r>
        <w:t>6.4.2.6.2 Using RMa model in TR 38.901 with updating hUT as 30m</w:t>
      </w:r>
      <w:r>
        <w:tab/>
      </w:r>
      <w:r>
        <w:fldChar w:fldCharType="begin"/>
      </w:r>
      <w:r>
        <w:instrText xml:space="preserve"> PAGEREF _Toc8879 \h </w:instrText>
      </w:r>
      <w:r>
        <w:fldChar w:fldCharType="separate"/>
      </w:r>
      <w:r>
        <w:t>82</w:t>
      </w:r>
      <w:r>
        <w:fldChar w:fldCharType="end"/>
      </w:r>
    </w:p>
    <w:p>
      <w:pPr>
        <w:pStyle w:val="20"/>
        <w:tabs>
          <w:tab w:val="right" w:leader="dot" w:pos="9641"/>
          <w:tab w:val="clear" w:pos="9639"/>
        </w:tabs>
      </w:pPr>
      <w:r>
        <w:rPr>
          <w:lang w:eastAsia="ja-JP"/>
        </w:rPr>
        <w:t>6.5 Summary of co-existence study</w:t>
      </w:r>
      <w:r>
        <w:tab/>
      </w:r>
      <w:r>
        <w:fldChar w:fldCharType="begin"/>
      </w:r>
      <w:r>
        <w:instrText xml:space="preserve"> PAGEREF _Toc16300 \h </w:instrText>
      </w:r>
      <w:r>
        <w:fldChar w:fldCharType="separate"/>
      </w:r>
      <w:r>
        <w:t>83</w:t>
      </w:r>
      <w:r>
        <w:fldChar w:fldCharType="end"/>
      </w:r>
    </w:p>
    <w:p>
      <w:pPr>
        <w:pStyle w:val="19"/>
        <w:tabs>
          <w:tab w:val="right" w:leader="dot" w:pos="9641"/>
          <w:tab w:val="clear" w:pos="9639"/>
        </w:tabs>
      </w:pPr>
      <w:r>
        <w:t>6.5.1 Synchronized Scenarios</w:t>
      </w:r>
      <w:r>
        <w:tab/>
      </w:r>
      <w:r>
        <w:fldChar w:fldCharType="begin"/>
      </w:r>
      <w:r>
        <w:instrText xml:space="preserve"> PAGEREF _Toc11866 \h </w:instrText>
      </w:r>
      <w:r>
        <w:fldChar w:fldCharType="separate"/>
      </w:r>
      <w:r>
        <w:t>83</w:t>
      </w:r>
      <w:r>
        <w:fldChar w:fldCharType="end"/>
      </w:r>
    </w:p>
    <w:p>
      <w:pPr>
        <w:pStyle w:val="19"/>
        <w:tabs>
          <w:tab w:val="right" w:leader="dot" w:pos="9641"/>
          <w:tab w:val="clear" w:pos="9639"/>
        </w:tabs>
      </w:pPr>
      <w:r>
        <w:rPr>
          <w:lang w:val="en-US" w:eastAsia="en-US"/>
        </w:rPr>
        <w:t>6.5.2 Non-Synchronized Scenarios</w:t>
      </w:r>
      <w:r>
        <w:tab/>
      </w:r>
      <w:r>
        <w:fldChar w:fldCharType="begin"/>
      </w:r>
      <w:r>
        <w:instrText xml:space="preserve"> PAGEREF _Toc25995 \h </w:instrText>
      </w:r>
      <w:r>
        <w:fldChar w:fldCharType="separate"/>
      </w:r>
      <w:r>
        <w:t>83</w:t>
      </w:r>
      <w:r>
        <w:fldChar w:fldCharType="end"/>
      </w:r>
    </w:p>
    <w:p>
      <w:pPr>
        <w:pStyle w:val="21"/>
        <w:tabs>
          <w:tab w:val="right" w:pos="2000"/>
          <w:tab w:val="right" w:leader="dot" w:pos="9641"/>
          <w:tab w:val="clear" w:pos="9639"/>
        </w:tabs>
      </w:pPr>
      <w:r>
        <w:rPr>
          <w:rFonts w:hint="eastAsia"/>
          <w:lang w:val="sv-SE" w:eastAsia="zh-CN"/>
        </w:rPr>
        <w:t>7</w:t>
      </w:r>
      <w:r>
        <w:rPr>
          <w:lang w:val="sv-SE"/>
        </w:rPr>
        <w:tab/>
      </w:r>
      <w:r>
        <w:rPr>
          <w:rFonts w:hint="eastAsia"/>
          <w:lang w:val="sv-SE" w:eastAsia="zh-CN"/>
        </w:rPr>
        <w:t>RF requirements</w:t>
      </w:r>
      <w:r>
        <w:tab/>
      </w:r>
      <w:r>
        <w:fldChar w:fldCharType="begin"/>
      </w:r>
      <w:r>
        <w:instrText xml:space="preserve"> PAGEREF _Toc31163 \h </w:instrText>
      </w:r>
      <w:r>
        <w:fldChar w:fldCharType="separate"/>
      </w:r>
      <w:r>
        <w:t>84</w:t>
      </w:r>
      <w:r>
        <w:fldChar w:fldCharType="end"/>
      </w:r>
    </w:p>
    <w:p>
      <w:pPr>
        <w:pStyle w:val="20"/>
        <w:tabs>
          <w:tab w:val="right" w:pos="2000"/>
          <w:tab w:val="right" w:leader="dot" w:pos="9641"/>
          <w:tab w:val="clear" w:pos="9639"/>
        </w:tabs>
      </w:pPr>
      <w:r>
        <w:rPr>
          <w:rFonts w:hint="eastAsia"/>
          <w:lang w:eastAsia="zh-CN"/>
        </w:rPr>
        <w:t>7</w:t>
      </w:r>
      <w:r>
        <w:t>.1</w:t>
      </w:r>
      <w:r>
        <w:tab/>
      </w:r>
      <w:r>
        <w:rPr>
          <w:rFonts w:hint="eastAsia"/>
          <w:lang w:eastAsia="zh-CN"/>
        </w:rPr>
        <w:t xml:space="preserve">ATG </w:t>
      </w:r>
      <w:r>
        <w:rPr>
          <w:lang w:eastAsia="zh-CN"/>
        </w:rPr>
        <w:t>UE</w:t>
      </w:r>
      <w:r>
        <w:t xml:space="preserve"> specific</w:t>
      </w:r>
      <w:r>
        <w:tab/>
      </w:r>
      <w:r>
        <w:fldChar w:fldCharType="begin"/>
      </w:r>
      <w:r>
        <w:instrText xml:space="preserve"> PAGEREF _Toc1428 \h </w:instrText>
      </w:r>
      <w:r>
        <w:fldChar w:fldCharType="separate"/>
      </w:r>
      <w:r>
        <w:t>84</w:t>
      </w:r>
      <w:r>
        <w:fldChar w:fldCharType="end"/>
      </w:r>
    </w:p>
    <w:p>
      <w:pPr>
        <w:pStyle w:val="19"/>
        <w:tabs>
          <w:tab w:val="right" w:leader="dot" w:pos="9641"/>
          <w:tab w:val="clear" w:pos="9639"/>
        </w:tabs>
      </w:pPr>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r>
        <w:tab/>
      </w:r>
      <w:r>
        <w:fldChar w:fldCharType="begin"/>
      </w:r>
      <w:r>
        <w:instrText xml:space="preserve"> PAGEREF _Toc26553 \h </w:instrText>
      </w:r>
      <w:r>
        <w:fldChar w:fldCharType="separate"/>
      </w:r>
      <w:r>
        <w:t>84</w:t>
      </w:r>
      <w:r>
        <w:fldChar w:fldCharType="end"/>
      </w:r>
    </w:p>
    <w:p>
      <w:pPr>
        <w:pStyle w:val="19"/>
        <w:tabs>
          <w:tab w:val="right" w:leader="dot" w:pos="9641"/>
          <w:tab w:val="clear" w:pos="9639"/>
        </w:tabs>
      </w:pPr>
      <w:r>
        <w:rPr>
          <w:rFonts w:hint="eastAsia"/>
        </w:rPr>
        <w:t>7.</w:t>
      </w:r>
      <w:r>
        <w:rPr>
          <w:rFonts w:hint="eastAsia"/>
          <w:lang w:eastAsia="zh-CN"/>
        </w:rPr>
        <w:t>1</w:t>
      </w:r>
      <w:r>
        <w:rPr>
          <w:rFonts w:hint="eastAsia"/>
        </w:rPr>
        <w:t xml:space="preserve">.2 </w:t>
      </w:r>
      <w:r>
        <w:rPr>
          <w:rFonts w:hint="eastAsia"/>
          <w:lang w:eastAsia="zh-CN"/>
        </w:rPr>
        <w:t>Tx requirements</w:t>
      </w:r>
      <w:r>
        <w:tab/>
      </w:r>
      <w:r>
        <w:fldChar w:fldCharType="begin"/>
      </w:r>
      <w:r>
        <w:instrText xml:space="preserve"> PAGEREF _Toc21357 \h </w:instrText>
      </w:r>
      <w:r>
        <w:fldChar w:fldCharType="separate"/>
      </w:r>
      <w:r>
        <w:t>84</w:t>
      </w:r>
      <w:r>
        <w:fldChar w:fldCharType="end"/>
      </w:r>
    </w:p>
    <w:p>
      <w:pPr>
        <w:pStyle w:val="18"/>
        <w:tabs>
          <w:tab w:val="right" w:leader="dot" w:pos="9641"/>
          <w:tab w:val="clear" w:pos="9639"/>
        </w:tabs>
      </w:pPr>
      <w:r>
        <w:rPr>
          <w:lang w:eastAsia="zh-CN"/>
        </w:rPr>
        <w:t>7.1.2.1 Frequency error</w:t>
      </w:r>
      <w:r>
        <w:tab/>
      </w:r>
      <w:r>
        <w:fldChar w:fldCharType="begin"/>
      </w:r>
      <w:r>
        <w:instrText xml:space="preserve"> PAGEREF _Toc12377 \h </w:instrText>
      </w:r>
      <w:r>
        <w:fldChar w:fldCharType="separate"/>
      </w:r>
      <w:r>
        <w:t>84</w:t>
      </w:r>
      <w:r>
        <w:fldChar w:fldCharType="end"/>
      </w:r>
    </w:p>
    <w:p>
      <w:pPr>
        <w:pStyle w:val="18"/>
        <w:tabs>
          <w:tab w:val="right" w:leader="dot" w:pos="9641"/>
          <w:tab w:val="clear" w:pos="9639"/>
        </w:tabs>
      </w:pPr>
      <w:r>
        <w:rPr>
          <w:lang w:eastAsia="zh-CN"/>
        </w:rPr>
        <w:t>7.1.2.2 MOP requirements</w:t>
      </w:r>
      <w:r>
        <w:tab/>
      </w:r>
      <w:r>
        <w:fldChar w:fldCharType="begin"/>
      </w:r>
      <w:r>
        <w:instrText xml:space="preserve"> PAGEREF _Toc30253 \h </w:instrText>
      </w:r>
      <w:r>
        <w:fldChar w:fldCharType="separate"/>
      </w:r>
      <w:r>
        <w:t>85</w:t>
      </w:r>
      <w:r>
        <w:fldChar w:fldCharType="end"/>
      </w:r>
    </w:p>
    <w:p>
      <w:pPr>
        <w:pStyle w:val="18"/>
        <w:tabs>
          <w:tab w:val="right" w:leader="dot" w:pos="9641"/>
          <w:tab w:val="clear" w:pos="9639"/>
        </w:tabs>
      </w:pPr>
      <w:r>
        <w:rPr>
          <w:lang w:eastAsia="zh-CN"/>
        </w:rPr>
        <w:t>7.1.2.3 MPR/AMPR requirements</w:t>
      </w:r>
      <w:r>
        <w:tab/>
      </w:r>
      <w:r>
        <w:fldChar w:fldCharType="begin"/>
      </w:r>
      <w:r>
        <w:instrText xml:space="preserve"> PAGEREF _Toc6356 \h </w:instrText>
      </w:r>
      <w:r>
        <w:fldChar w:fldCharType="separate"/>
      </w:r>
      <w:r>
        <w:t>85</w:t>
      </w:r>
      <w:r>
        <w:fldChar w:fldCharType="end"/>
      </w:r>
    </w:p>
    <w:p>
      <w:pPr>
        <w:pStyle w:val="18"/>
        <w:tabs>
          <w:tab w:val="right" w:leader="dot" w:pos="9641"/>
          <w:tab w:val="clear" w:pos="9639"/>
        </w:tabs>
      </w:pPr>
      <w:r>
        <w:rPr>
          <w:lang w:eastAsia="zh-CN"/>
        </w:rPr>
        <w:t>7.1.2.4 Configured transmitted power</w:t>
      </w:r>
      <w:r>
        <w:tab/>
      </w:r>
      <w:r>
        <w:fldChar w:fldCharType="begin"/>
      </w:r>
      <w:r>
        <w:instrText xml:space="preserve"> PAGEREF _Toc30377 \h </w:instrText>
      </w:r>
      <w:r>
        <w:fldChar w:fldCharType="separate"/>
      </w:r>
      <w:r>
        <w:t>85</w:t>
      </w:r>
      <w:r>
        <w:fldChar w:fldCharType="end"/>
      </w:r>
    </w:p>
    <w:p>
      <w:pPr>
        <w:pStyle w:val="18"/>
        <w:tabs>
          <w:tab w:val="right" w:leader="dot" w:pos="9641"/>
          <w:tab w:val="clear" w:pos="9639"/>
        </w:tabs>
      </w:pPr>
      <w:r>
        <w:rPr>
          <w:lang w:eastAsia="zh-CN"/>
        </w:rPr>
        <w:t>7.1.2.5 Minimum output power</w:t>
      </w:r>
      <w:r>
        <w:tab/>
      </w:r>
      <w:r>
        <w:fldChar w:fldCharType="begin"/>
      </w:r>
      <w:r>
        <w:instrText xml:space="preserve"> PAGEREF _Toc25923 \h </w:instrText>
      </w:r>
      <w:r>
        <w:fldChar w:fldCharType="separate"/>
      </w:r>
      <w:r>
        <w:t>86</w:t>
      </w:r>
      <w:r>
        <w:fldChar w:fldCharType="end"/>
      </w:r>
    </w:p>
    <w:p>
      <w:pPr>
        <w:pStyle w:val="18"/>
        <w:tabs>
          <w:tab w:val="right" w:leader="dot" w:pos="9641"/>
          <w:tab w:val="clear" w:pos="9639"/>
        </w:tabs>
      </w:pPr>
      <w:r>
        <w:rPr>
          <w:lang w:eastAsia="zh-CN"/>
        </w:rPr>
        <w:t>7.1.2.6 Transmit OFF power</w:t>
      </w:r>
      <w:r>
        <w:tab/>
      </w:r>
      <w:r>
        <w:fldChar w:fldCharType="begin"/>
      </w:r>
      <w:r>
        <w:instrText xml:space="preserve"> PAGEREF _Toc13529 \h </w:instrText>
      </w:r>
      <w:r>
        <w:fldChar w:fldCharType="separate"/>
      </w:r>
      <w:r>
        <w:t>86</w:t>
      </w:r>
      <w:r>
        <w:fldChar w:fldCharType="end"/>
      </w:r>
    </w:p>
    <w:p>
      <w:pPr>
        <w:pStyle w:val="18"/>
        <w:tabs>
          <w:tab w:val="right" w:leader="dot" w:pos="9641"/>
          <w:tab w:val="clear" w:pos="9639"/>
        </w:tabs>
      </w:pPr>
      <w:r>
        <w:rPr>
          <w:lang w:eastAsia="zh-CN"/>
        </w:rPr>
        <w:t>7.1.2.7 Transmit ON/OFF time mask</w:t>
      </w:r>
      <w:r>
        <w:tab/>
      </w:r>
      <w:r>
        <w:fldChar w:fldCharType="begin"/>
      </w:r>
      <w:r>
        <w:instrText xml:space="preserve"> PAGEREF _Toc6362 \h </w:instrText>
      </w:r>
      <w:r>
        <w:fldChar w:fldCharType="separate"/>
      </w:r>
      <w:r>
        <w:t>86</w:t>
      </w:r>
      <w:r>
        <w:fldChar w:fldCharType="end"/>
      </w:r>
    </w:p>
    <w:p>
      <w:pPr>
        <w:pStyle w:val="18"/>
        <w:tabs>
          <w:tab w:val="right" w:leader="dot" w:pos="9641"/>
          <w:tab w:val="clear" w:pos="9639"/>
        </w:tabs>
      </w:pPr>
      <w:r>
        <w:rPr>
          <w:lang w:eastAsia="zh-CN"/>
        </w:rPr>
        <w:t>7.1.2.8 Power control</w:t>
      </w:r>
      <w:r>
        <w:tab/>
      </w:r>
      <w:r>
        <w:fldChar w:fldCharType="begin"/>
      </w:r>
      <w:r>
        <w:instrText xml:space="preserve"> PAGEREF _Toc17855 \h </w:instrText>
      </w:r>
      <w:r>
        <w:fldChar w:fldCharType="separate"/>
      </w:r>
      <w:r>
        <w:t>86</w:t>
      </w:r>
      <w:r>
        <w:fldChar w:fldCharType="end"/>
      </w:r>
    </w:p>
    <w:p>
      <w:pPr>
        <w:pStyle w:val="18"/>
        <w:tabs>
          <w:tab w:val="right" w:leader="dot" w:pos="9641"/>
          <w:tab w:val="clear" w:pos="9639"/>
        </w:tabs>
      </w:pPr>
      <w:r>
        <w:rPr>
          <w:lang w:eastAsia="zh-CN"/>
        </w:rPr>
        <w:t>7.1.2.9 Transmit signal quality</w:t>
      </w:r>
      <w:r>
        <w:tab/>
      </w:r>
      <w:r>
        <w:fldChar w:fldCharType="begin"/>
      </w:r>
      <w:r>
        <w:instrText xml:space="preserve"> PAGEREF _Toc198 \h </w:instrText>
      </w:r>
      <w:r>
        <w:fldChar w:fldCharType="separate"/>
      </w:r>
      <w:r>
        <w:t>87</w:t>
      </w:r>
      <w:r>
        <w:fldChar w:fldCharType="end"/>
      </w:r>
    </w:p>
    <w:p>
      <w:pPr>
        <w:pStyle w:val="18"/>
        <w:tabs>
          <w:tab w:val="right" w:leader="dot" w:pos="9641"/>
          <w:tab w:val="clear" w:pos="9639"/>
        </w:tabs>
      </w:pPr>
      <w:r>
        <w:rPr>
          <w:lang w:eastAsia="zh-CN"/>
        </w:rPr>
        <w:t>7.1.2.10 Occupied bandwidth</w:t>
      </w:r>
      <w:r>
        <w:tab/>
      </w:r>
      <w:r>
        <w:fldChar w:fldCharType="begin"/>
      </w:r>
      <w:r>
        <w:instrText xml:space="preserve"> PAGEREF _Toc25916 \h </w:instrText>
      </w:r>
      <w:r>
        <w:fldChar w:fldCharType="separate"/>
      </w:r>
      <w:r>
        <w:t>88</w:t>
      </w:r>
      <w:r>
        <w:fldChar w:fldCharType="end"/>
      </w:r>
    </w:p>
    <w:p>
      <w:pPr>
        <w:pStyle w:val="18"/>
        <w:tabs>
          <w:tab w:val="right" w:leader="dot" w:pos="9641"/>
          <w:tab w:val="clear" w:pos="9639"/>
        </w:tabs>
      </w:pPr>
      <w:r>
        <w:rPr>
          <w:lang w:eastAsia="zh-CN"/>
        </w:rPr>
        <w:t>7.1.2.11 SEM requirements</w:t>
      </w:r>
      <w:r>
        <w:tab/>
      </w:r>
      <w:r>
        <w:fldChar w:fldCharType="begin"/>
      </w:r>
      <w:r>
        <w:instrText xml:space="preserve"> PAGEREF _Toc10024 \h </w:instrText>
      </w:r>
      <w:r>
        <w:fldChar w:fldCharType="separate"/>
      </w:r>
      <w:r>
        <w:t>88</w:t>
      </w:r>
      <w:r>
        <w:fldChar w:fldCharType="end"/>
      </w:r>
    </w:p>
    <w:p>
      <w:pPr>
        <w:pStyle w:val="18"/>
        <w:tabs>
          <w:tab w:val="right" w:leader="dot" w:pos="9641"/>
          <w:tab w:val="clear" w:pos="9639"/>
        </w:tabs>
      </w:pPr>
      <w:r>
        <w:rPr>
          <w:lang w:eastAsia="zh-CN"/>
        </w:rPr>
        <w:t>7.1.2.12 ACLR requirements</w:t>
      </w:r>
      <w:r>
        <w:tab/>
      </w:r>
      <w:r>
        <w:fldChar w:fldCharType="begin"/>
      </w:r>
      <w:r>
        <w:instrText xml:space="preserve"> PAGEREF _Toc17321 \h </w:instrText>
      </w:r>
      <w:r>
        <w:fldChar w:fldCharType="separate"/>
      </w:r>
      <w:r>
        <w:t>88</w:t>
      </w:r>
      <w:r>
        <w:fldChar w:fldCharType="end"/>
      </w:r>
    </w:p>
    <w:p>
      <w:pPr>
        <w:pStyle w:val="18"/>
        <w:tabs>
          <w:tab w:val="right" w:leader="dot" w:pos="9641"/>
          <w:tab w:val="clear" w:pos="9639"/>
        </w:tabs>
      </w:pPr>
      <w:r>
        <w:rPr>
          <w:lang w:eastAsia="zh-CN"/>
        </w:rPr>
        <w:t>7.1.2.13 Spurious emission</w:t>
      </w:r>
      <w:r>
        <w:tab/>
      </w:r>
      <w:r>
        <w:fldChar w:fldCharType="begin"/>
      </w:r>
      <w:r>
        <w:instrText xml:space="preserve"> PAGEREF _Toc30408 \h </w:instrText>
      </w:r>
      <w:r>
        <w:fldChar w:fldCharType="separate"/>
      </w:r>
      <w:r>
        <w:t>88</w:t>
      </w:r>
      <w:r>
        <w:fldChar w:fldCharType="end"/>
      </w:r>
    </w:p>
    <w:p>
      <w:pPr>
        <w:pStyle w:val="18"/>
        <w:tabs>
          <w:tab w:val="right" w:leader="dot" w:pos="9641"/>
          <w:tab w:val="clear" w:pos="9639"/>
        </w:tabs>
      </w:pPr>
      <w:r>
        <w:rPr>
          <w:lang w:eastAsia="zh-CN"/>
        </w:rPr>
        <w:t>7.1.2.14 Spurious emissions for UE co-existence</w:t>
      </w:r>
      <w:r>
        <w:tab/>
      </w:r>
      <w:r>
        <w:fldChar w:fldCharType="begin"/>
      </w:r>
      <w:r>
        <w:instrText xml:space="preserve"> PAGEREF _Toc30008 \h </w:instrText>
      </w:r>
      <w:r>
        <w:fldChar w:fldCharType="separate"/>
      </w:r>
      <w:r>
        <w:t>88</w:t>
      </w:r>
      <w:r>
        <w:fldChar w:fldCharType="end"/>
      </w:r>
    </w:p>
    <w:p>
      <w:pPr>
        <w:pStyle w:val="18"/>
        <w:tabs>
          <w:tab w:val="right" w:leader="dot" w:pos="9641"/>
          <w:tab w:val="clear" w:pos="9639"/>
        </w:tabs>
      </w:pPr>
      <w:r>
        <w:rPr>
          <w:lang w:eastAsia="zh-CN"/>
        </w:rPr>
        <w:t>7.1.2.15 Transmit intermodulation</w:t>
      </w:r>
      <w:r>
        <w:tab/>
      </w:r>
      <w:r>
        <w:fldChar w:fldCharType="begin"/>
      </w:r>
      <w:r>
        <w:instrText xml:space="preserve"> PAGEREF _Toc23918 \h </w:instrText>
      </w:r>
      <w:r>
        <w:fldChar w:fldCharType="separate"/>
      </w:r>
      <w:r>
        <w:t>88</w:t>
      </w:r>
      <w:r>
        <w:fldChar w:fldCharType="end"/>
      </w:r>
    </w:p>
    <w:p>
      <w:pPr>
        <w:pStyle w:val="19"/>
        <w:tabs>
          <w:tab w:val="right" w:leader="dot" w:pos="9641"/>
          <w:tab w:val="clear" w:pos="9639"/>
        </w:tabs>
      </w:pPr>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_Toc14699 \h </w:instrText>
      </w:r>
      <w:r>
        <w:fldChar w:fldCharType="separate"/>
      </w:r>
      <w:r>
        <w:t>88</w:t>
      </w:r>
      <w:r>
        <w:fldChar w:fldCharType="end"/>
      </w:r>
    </w:p>
    <w:p>
      <w:pPr>
        <w:pStyle w:val="18"/>
        <w:tabs>
          <w:tab w:val="right" w:pos="2400"/>
          <w:tab w:val="right" w:leader="dot" w:pos="9641"/>
          <w:tab w:val="clear" w:pos="9639"/>
        </w:tabs>
      </w:pPr>
      <w:r>
        <w:rPr>
          <w:lang w:val="en-US" w:eastAsia="zh-CN"/>
        </w:rPr>
        <w:t>7.1.3.1</w:t>
      </w:r>
      <w:r>
        <w:rPr>
          <w:lang w:val="en-US" w:eastAsia="zh-CN"/>
        </w:rPr>
        <w:tab/>
      </w:r>
      <w:r>
        <w:rPr>
          <w:lang w:val="en-US" w:eastAsia="zh-CN"/>
        </w:rPr>
        <w:t>General</w:t>
      </w:r>
      <w:r>
        <w:tab/>
      </w:r>
      <w:r>
        <w:fldChar w:fldCharType="begin"/>
      </w:r>
      <w:r>
        <w:instrText xml:space="preserve"> PAGEREF _Toc27145 \h </w:instrText>
      </w:r>
      <w:r>
        <w:fldChar w:fldCharType="separate"/>
      </w:r>
      <w:r>
        <w:t>88</w:t>
      </w:r>
      <w:r>
        <w:fldChar w:fldCharType="end"/>
      </w:r>
    </w:p>
    <w:p>
      <w:pPr>
        <w:pStyle w:val="18"/>
        <w:tabs>
          <w:tab w:val="right" w:pos="2400"/>
          <w:tab w:val="right" w:leader="dot" w:pos="9641"/>
          <w:tab w:val="clear" w:pos="9639"/>
        </w:tabs>
      </w:pPr>
      <w:r>
        <w:rPr>
          <w:lang w:val="en-US" w:eastAsia="zh-CN"/>
        </w:rPr>
        <w:t>7.1.3.2</w:t>
      </w:r>
      <w:r>
        <w:rPr>
          <w:lang w:val="en-US" w:eastAsia="zh-CN"/>
        </w:rPr>
        <w:tab/>
      </w:r>
      <w:r>
        <w:rPr>
          <w:lang w:val="en-US" w:eastAsia="zh-CN"/>
        </w:rPr>
        <w:t>Diversity characteristics</w:t>
      </w:r>
      <w:r>
        <w:tab/>
      </w:r>
      <w:r>
        <w:fldChar w:fldCharType="begin"/>
      </w:r>
      <w:r>
        <w:instrText xml:space="preserve"> PAGEREF _Toc3341 \h </w:instrText>
      </w:r>
      <w:r>
        <w:fldChar w:fldCharType="separate"/>
      </w:r>
      <w:r>
        <w:t>88</w:t>
      </w:r>
      <w:r>
        <w:fldChar w:fldCharType="end"/>
      </w:r>
    </w:p>
    <w:p>
      <w:pPr>
        <w:pStyle w:val="18"/>
        <w:tabs>
          <w:tab w:val="right" w:pos="2400"/>
          <w:tab w:val="right" w:leader="dot" w:pos="9641"/>
          <w:tab w:val="clear" w:pos="9639"/>
        </w:tabs>
      </w:pPr>
      <w:r>
        <w:rPr>
          <w:lang w:val="en-US" w:eastAsia="zh-CN"/>
        </w:rPr>
        <w:t>7.1.3.3</w:t>
      </w:r>
      <w:r>
        <w:rPr>
          <w:lang w:val="en-US" w:eastAsia="zh-CN"/>
        </w:rPr>
        <w:tab/>
      </w:r>
      <w:r>
        <w:rPr>
          <w:lang w:val="en-US" w:eastAsia="zh-CN"/>
        </w:rPr>
        <w:t>REFSENS requirements</w:t>
      </w:r>
      <w:r>
        <w:tab/>
      </w:r>
      <w:r>
        <w:fldChar w:fldCharType="begin"/>
      </w:r>
      <w:r>
        <w:instrText xml:space="preserve"> PAGEREF _Toc11756 \h </w:instrText>
      </w:r>
      <w:r>
        <w:fldChar w:fldCharType="separate"/>
      </w:r>
      <w:r>
        <w:t>89</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4</w:t>
      </w:r>
      <w:r>
        <w:rPr>
          <w:rFonts w:hint="eastAsia"/>
        </w:rPr>
        <w:t xml:space="preserve"> </w:t>
      </w:r>
      <w:r>
        <w:t>Maximum input level</w:t>
      </w:r>
      <w:r>
        <w:tab/>
      </w:r>
      <w:r>
        <w:fldChar w:fldCharType="begin"/>
      </w:r>
      <w:r>
        <w:instrText xml:space="preserve"> PAGEREF _Toc5289 \h </w:instrText>
      </w:r>
      <w:r>
        <w:fldChar w:fldCharType="separate"/>
      </w:r>
      <w:r>
        <w:t>90</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5</w:t>
      </w:r>
      <w:r>
        <w:rPr>
          <w:rFonts w:hint="eastAsia"/>
        </w:rPr>
        <w:t xml:space="preserve"> </w:t>
      </w:r>
      <w:r>
        <w:t>Adjacent channel selectivity</w:t>
      </w:r>
      <w:r>
        <w:tab/>
      </w:r>
      <w:r>
        <w:fldChar w:fldCharType="begin"/>
      </w:r>
      <w:r>
        <w:instrText xml:space="preserve"> PAGEREF _Toc3012 \h </w:instrText>
      </w:r>
      <w:r>
        <w:fldChar w:fldCharType="separate"/>
      </w:r>
      <w:r>
        <w:t>91</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6</w:t>
      </w:r>
      <w:r>
        <w:rPr>
          <w:rFonts w:hint="eastAsia"/>
        </w:rPr>
        <w:t xml:space="preserve"> </w:t>
      </w:r>
      <w:r>
        <w:t>In-band blocking requirements</w:t>
      </w:r>
      <w:r>
        <w:tab/>
      </w:r>
      <w:r>
        <w:fldChar w:fldCharType="begin"/>
      </w:r>
      <w:r>
        <w:instrText xml:space="preserve"> PAGEREF _Toc4100 \h </w:instrText>
      </w:r>
      <w:r>
        <w:fldChar w:fldCharType="separate"/>
      </w:r>
      <w:r>
        <w:t>91</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r>
        <w:tab/>
      </w:r>
      <w:r>
        <w:fldChar w:fldCharType="begin"/>
      </w:r>
      <w:r>
        <w:instrText xml:space="preserve"> PAGEREF _Toc6635 \h </w:instrText>
      </w:r>
      <w:r>
        <w:fldChar w:fldCharType="separate"/>
      </w:r>
      <w:r>
        <w:t>93</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r>
        <w:tab/>
      </w:r>
      <w:r>
        <w:fldChar w:fldCharType="begin"/>
      </w:r>
      <w:r>
        <w:instrText xml:space="preserve"> PAGEREF _Toc3829 \h </w:instrText>
      </w:r>
      <w:r>
        <w:fldChar w:fldCharType="separate"/>
      </w:r>
      <w:r>
        <w:t>94</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r>
        <w:tab/>
      </w:r>
      <w:r>
        <w:fldChar w:fldCharType="begin"/>
      </w:r>
      <w:r>
        <w:instrText xml:space="preserve"> PAGEREF _Toc13196 \h </w:instrText>
      </w:r>
      <w:r>
        <w:fldChar w:fldCharType="separate"/>
      </w:r>
      <w:r>
        <w:t>94</w:t>
      </w:r>
      <w:r>
        <w:fldChar w:fldCharType="end"/>
      </w:r>
    </w:p>
    <w:p>
      <w:pPr>
        <w:pStyle w:val="18"/>
        <w:tabs>
          <w:tab w:val="right" w:leader="dot" w:pos="9641"/>
          <w:tab w:val="clear" w:pos="9639"/>
        </w:tabs>
      </w:pPr>
      <w:r>
        <w:t>7</w:t>
      </w:r>
      <w:r>
        <w:rPr>
          <w:rFonts w:hint="eastAsia"/>
        </w:rPr>
        <w:t>.</w:t>
      </w:r>
      <w:r>
        <w:t>1</w:t>
      </w:r>
      <w:r>
        <w:rPr>
          <w:rFonts w:hint="eastAsia"/>
        </w:rPr>
        <w:t>.</w:t>
      </w:r>
      <w:r>
        <w:t>3</w:t>
      </w:r>
      <w:r>
        <w:rPr>
          <w:rFonts w:hint="eastAsia"/>
        </w:rPr>
        <w:t>.</w:t>
      </w:r>
      <w:r>
        <w:t>10</w:t>
      </w:r>
      <w:r>
        <w:rPr>
          <w:rFonts w:hint="eastAsia"/>
        </w:rPr>
        <w:t xml:space="preserve"> </w:t>
      </w:r>
      <w:r>
        <w:t>Receiver Spurious emissions</w:t>
      </w:r>
      <w:r>
        <w:tab/>
      </w:r>
      <w:r>
        <w:fldChar w:fldCharType="begin"/>
      </w:r>
      <w:r>
        <w:instrText xml:space="preserve"> PAGEREF _Toc18134 \h </w:instrText>
      </w:r>
      <w:r>
        <w:fldChar w:fldCharType="separate"/>
      </w:r>
      <w:r>
        <w:t>94</w:t>
      </w:r>
      <w:r>
        <w:fldChar w:fldCharType="end"/>
      </w:r>
    </w:p>
    <w:p>
      <w:pPr>
        <w:pStyle w:val="20"/>
        <w:tabs>
          <w:tab w:val="right" w:pos="2000"/>
          <w:tab w:val="right" w:leader="dot" w:pos="9641"/>
          <w:tab w:val="clear" w:pos="9639"/>
        </w:tabs>
      </w:pPr>
      <w:r>
        <w:rPr>
          <w:rFonts w:hint="eastAsia"/>
          <w:lang w:eastAsia="zh-CN"/>
        </w:rPr>
        <w:t>7</w:t>
      </w:r>
      <w:r>
        <w:t>.2</w:t>
      </w:r>
      <w:r>
        <w:tab/>
      </w:r>
      <w:r>
        <w:rPr>
          <w:rFonts w:hint="eastAsia"/>
          <w:lang w:eastAsia="zh-CN"/>
        </w:rPr>
        <w:t xml:space="preserve">ATG </w:t>
      </w:r>
      <w:r>
        <w:t>BS specific</w:t>
      </w:r>
      <w:r>
        <w:tab/>
      </w:r>
      <w:r>
        <w:fldChar w:fldCharType="begin"/>
      </w:r>
      <w:r>
        <w:instrText xml:space="preserve"> PAGEREF _Toc9528 \h </w:instrText>
      </w:r>
      <w:r>
        <w:fldChar w:fldCharType="separate"/>
      </w:r>
      <w:r>
        <w:t>94</w:t>
      </w:r>
      <w:r>
        <w:fldChar w:fldCharType="end"/>
      </w:r>
    </w:p>
    <w:p>
      <w:pPr>
        <w:pStyle w:val="19"/>
        <w:tabs>
          <w:tab w:val="right" w:leader="dot" w:pos="9641"/>
          <w:tab w:val="clear" w:pos="9639"/>
        </w:tabs>
      </w:pPr>
      <w:r>
        <w:rPr>
          <w:rFonts w:hint="eastAsia"/>
        </w:rPr>
        <w:t>7.2.1 ATG BS class and BS type</w:t>
      </w:r>
      <w:r>
        <w:tab/>
      </w:r>
      <w:r>
        <w:fldChar w:fldCharType="begin"/>
      </w:r>
      <w:r>
        <w:instrText xml:space="preserve"> PAGEREF _Toc12034 \h </w:instrText>
      </w:r>
      <w:r>
        <w:fldChar w:fldCharType="separate"/>
      </w:r>
      <w:r>
        <w:t>94</w:t>
      </w:r>
      <w:r>
        <w:fldChar w:fldCharType="end"/>
      </w:r>
    </w:p>
    <w:p>
      <w:pPr>
        <w:pStyle w:val="19"/>
        <w:tabs>
          <w:tab w:val="right" w:leader="dot" w:pos="9641"/>
          <w:tab w:val="clear" w:pos="9639"/>
        </w:tabs>
      </w:pPr>
      <w:r>
        <w:rPr>
          <w:rFonts w:hint="eastAsia"/>
        </w:rPr>
        <w:t xml:space="preserve">7.2.2 </w:t>
      </w:r>
      <w:r>
        <w:rPr>
          <w:rFonts w:hint="eastAsia"/>
          <w:lang w:eastAsia="zh-CN"/>
        </w:rPr>
        <w:t>Tx requirements</w:t>
      </w:r>
      <w:r>
        <w:tab/>
      </w:r>
      <w:r>
        <w:fldChar w:fldCharType="begin"/>
      </w:r>
      <w:r>
        <w:instrText xml:space="preserve"> PAGEREF _Toc6592 \h </w:instrText>
      </w:r>
      <w:r>
        <w:fldChar w:fldCharType="separate"/>
      </w:r>
      <w:r>
        <w:t>94</w:t>
      </w:r>
      <w:r>
        <w:fldChar w:fldCharType="end"/>
      </w:r>
    </w:p>
    <w:p>
      <w:pPr>
        <w:pStyle w:val="18"/>
        <w:tabs>
          <w:tab w:val="right" w:leader="dot" w:pos="9641"/>
          <w:tab w:val="clear" w:pos="9639"/>
        </w:tabs>
      </w:pPr>
      <w:r>
        <w:t xml:space="preserve">7.2.2.1 </w:t>
      </w:r>
      <w:r>
        <w:rPr>
          <w:rFonts w:hint="eastAsia"/>
        </w:rPr>
        <w:t>ATG</w:t>
      </w:r>
      <w:r>
        <w:t xml:space="preserve"> </w:t>
      </w:r>
      <w:r>
        <w:rPr>
          <w:rFonts w:hint="eastAsia"/>
        </w:rPr>
        <w:t>Ba</w:t>
      </w:r>
      <w:r>
        <w:t>se station power</w:t>
      </w:r>
      <w:r>
        <w:tab/>
      </w:r>
      <w:r>
        <w:fldChar w:fldCharType="begin"/>
      </w:r>
      <w:r>
        <w:instrText xml:space="preserve"> PAGEREF _Toc7264 \h </w:instrText>
      </w:r>
      <w:r>
        <w:fldChar w:fldCharType="separate"/>
      </w:r>
      <w:r>
        <w:t>94</w:t>
      </w:r>
      <w:r>
        <w:fldChar w:fldCharType="end"/>
      </w:r>
    </w:p>
    <w:p>
      <w:pPr>
        <w:pStyle w:val="18"/>
        <w:tabs>
          <w:tab w:val="right" w:leader="dot" w:pos="9641"/>
          <w:tab w:val="clear" w:pos="9639"/>
        </w:tabs>
      </w:pPr>
      <w:r>
        <w:t>7.2.2.2 Transmitted signal quality</w:t>
      </w:r>
      <w:r>
        <w:tab/>
      </w:r>
      <w:r>
        <w:fldChar w:fldCharType="begin"/>
      </w:r>
      <w:r>
        <w:instrText xml:space="preserve"> PAGEREF _Toc31335 \h </w:instrText>
      </w:r>
      <w:r>
        <w:fldChar w:fldCharType="separate"/>
      </w:r>
      <w:r>
        <w:t>95</w:t>
      </w:r>
      <w:r>
        <w:fldChar w:fldCharType="end"/>
      </w:r>
    </w:p>
    <w:p>
      <w:pPr>
        <w:pStyle w:val="18"/>
        <w:tabs>
          <w:tab w:val="right" w:leader="dot" w:pos="9641"/>
          <w:tab w:val="clear" w:pos="9639"/>
        </w:tabs>
      </w:pPr>
      <w:r>
        <w:t xml:space="preserve">7.2.2.3 </w:t>
      </w:r>
      <w:r>
        <w:rPr>
          <w:lang w:val="en-US" w:eastAsia="zh-CN"/>
        </w:rPr>
        <w:t>Un</w:t>
      </w:r>
      <w:r>
        <w:rPr>
          <w:rFonts w:hint="eastAsia"/>
          <w:lang w:val="en-US" w:eastAsia="zh-CN"/>
        </w:rPr>
        <w:t>wanted emission requirements</w:t>
      </w:r>
      <w:r>
        <w:tab/>
      </w:r>
      <w:r>
        <w:fldChar w:fldCharType="begin"/>
      </w:r>
      <w:r>
        <w:instrText xml:space="preserve"> PAGEREF _Toc25426 \h </w:instrText>
      </w:r>
      <w:r>
        <w:fldChar w:fldCharType="separate"/>
      </w:r>
      <w:r>
        <w:t>96</w:t>
      </w:r>
      <w:r>
        <w:fldChar w:fldCharType="end"/>
      </w:r>
    </w:p>
    <w:p>
      <w:pPr>
        <w:pStyle w:val="18"/>
        <w:tabs>
          <w:tab w:val="right" w:leader="dot" w:pos="9641"/>
          <w:tab w:val="clear" w:pos="9639"/>
        </w:tabs>
      </w:pPr>
      <w:r>
        <w:t>7.2.2.4 Transmitter spurious emissions</w:t>
      </w:r>
      <w:r>
        <w:tab/>
      </w:r>
      <w:r>
        <w:fldChar w:fldCharType="begin"/>
      </w:r>
      <w:r>
        <w:instrText xml:space="preserve"> PAGEREF _Toc16769 \h </w:instrText>
      </w:r>
      <w:r>
        <w:fldChar w:fldCharType="separate"/>
      </w:r>
      <w:r>
        <w:t>96</w:t>
      </w:r>
      <w:r>
        <w:fldChar w:fldCharType="end"/>
      </w:r>
    </w:p>
    <w:p>
      <w:pPr>
        <w:pStyle w:val="18"/>
        <w:tabs>
          <w:tab w:val="right" w:leader="dot" w:pos="9641"/>
          <w:tab w:val="clear" w:pos="9639"/>
        </w:tabs>
      </w:pPr>
      <w:r>
        <w:t>7.2.2.5 Transmitter intermodulation</w:t>
      </w:r>
      <w:r>
        <w:tab/>
      </w:r>
      <w:r>
        <w:fldChar w:fldCharType="begin"/>
      </w:r>
      <w:r>
        <w:instrText xml:space="preserve"> PAGEREF _Toc13904 \h </w:instrText>
      </w:r>
      <w:r>
        <w:fldChar w:fldCharType="separate"/>
      </w:r>
      <w:r>
        <w:t>96</w:t>
      </w:r>
      <w:r>
        <w:fldChar w:fldCharType="end"/>
      </w:r>
    </w:p>
    <w:p>
      <w:pPr>
        <w:pStyle w:val="19"/>
        <w:tabs>
          <w:tab w:val="right" w:leader="dot" w:pos="9641"/>
          <w:tab w:val="clear" w:pos="9639"/>
        </w:tabs>
      </w:pPr>
      <w:r>
        <w:rPr>
          <w:rFonts w:hint="eastAsia"/>
        </w:rPr>
        <w:t>7.2.</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_Toc23355 \h </w:instrText>
      </w:r>
      <w:r>
        <w:fldChar w:fldCharType="separate"/>
      </w:r>
      <w:r>
        <w:t>96</w:t>
      </w:r>
      <w:r>
        <w:fldChar w:fldCharType="end"/>
      </w:r>
    </w:p>
    <w:p>
      <w:pPr>
        <w:pStyle w:val="18"/>
        <w:tabs>
          <w:tab w:val="right" w:leader="dot" w:pos="9641"/>
          <w:tab w:val="clear" w:pos="9639"/>
        </w:tabs>
      </w:pPr>
      <w:r>
        <w:t>7.2.3.1 Reference sensitivity level</w:t>
      </w:r>
      <w:r>
        <w:tab/>
      </w:r>
      <w:r>
        <w:fldChar w:fldCharType="begin"/>
      </w:r>
      <w:r>
        <w:instrText xml:space="preserve"> PAGEREF _Toc3620 \h </w:instrText>
      </w:r>
      <w:r>
        <w:fldChar w:fldCharType="separate"/>
      </w:r>
      <w:r>
        <w:t>96</w:t>
      </w:r>
      <w:r>
        <w:fldChar w:fldCharType="end"/>
      </w:r>
    </w:p>
    <w:p>
      <w:pPr>
        <w:pStyle w:val="18"/>
        <w:tabs>
          <w:tab w:val="right" w:leader="dot" w:pos="9641"/>
          <w:tab w:val="clear" w:pos="9639"/>
        </w:tabs>
      </w:pPr>
      <w:r>
        <w:t>7.2.3.2 Dynamic range</w:t>
      </w:r>
      <w:r>
        <w:tab/>
      </w:r>
      <w:r>
        <w:fldChar w:fldCharType="begin"/>
      </w:r>
      <w:r>
        <w:instrText xml:space="preserve"> PAGEREF _Toc19801 \h </w:instrText>
      </w:r>
      <w:r>
        <w:fldChar w:fldCharType="separate"/>
      </w:r>
      <w:r>
        <w:t>96</w:t>
      </w:r>
      <w:r>
        <w:fldChar w:fldCharType="end"/>
      </w:r>
    </w:p>
    <w:p>
      <w:pPr>
        <w:pStyle w:val="18"/>
        <w:tabs>
          <w:tab w:val="right" w:leader="dot" w:pos="9641"/>
          <w:tab w:val="clear" w:pos="9639"/>
        </w:tabs>
      </w:pPr>
      <w:r>
        <w:t>7.2.3.3 ACS</w:t>
      </w:r>
      <w:r>
        <w:tab/>
      </w:r>
      <w:r>
        <w:fldChar w:fldCharType="begin"/>
      </w:r>
      <w:r>
        <w:instrText xml:space="preserve"> PAGEREF _Toc4377 \h </w:instrText>
      </w:r>
      <w:r>
        <w:fldChar w:fldCharType="separate"/>
      </w:r>
      <w:r>
        <w:t>97</w:t>
      </w:r>
      <w:r>
        <w:fldChar w:fldCharType="end"/>
      </w:r>
    </w:p>
    <w:p>
      <w:pPr>
        <w:pStyle w:val="18"/>
        <w:tabs>
          <w:tab w:val="right" w:leader="dot" w:pos="9641"/>
          <w:tab w:val="clear" w:pos="9639"/>
        </w:tabs>
      </w:pPr>
      <w:r>
        <w:rPr>
          <w:lang w:eastAsia="en-US"/>
        </w:rPr>
        <w:t>7.2.3.4 In-band blocking</w:t>
      </w:r>
      <w:r>
        <w:tab/>
      </w:r>
      <w:r>
        <w:fldChar w:fldCharType="begin"/>
      </w:r>
      <w:r>
        <w:instrText xml:space="preserve"> PAGEREF _Toc26157 \h </w:instrText>
      </w:r>
      <w:r>
        <w:fldChar w:fldCharType="separate"/>
      </w:r>
      <w:r>
        <w:t>97</w:t>
      </w:r>
      <w:r>
        <w:fldChar w:fldCharType="end"/>
      </w:r>
    </w:p>
    <w:p>
      <w:pPr>
        <w:pStyle w:val="18"/>
        <w:tabs>
          <w:tab w:val="right" w:leader="dot" w:pos="9641"/>
          <w:tab w:val="clear" w:pos="9639"/>
        </w:tabs>
      </w:pPr>
      <w:r>
        <w:rPr>
          <w:lang w:eastAsia="en-US"/>
        </w:rPr>
        <w:t>7.2.3.5 Receiver intermodulation</w:t>
      </w:r>
      <w:r>
        <w:tab/>
      </w:r>
      <w:r>
        <w:fldChar w:fldCharType="begin"/>
      </w:r>
      <w:r>
        <w:instrText xml:space="preserve"> PAGEREF _Toc22691 \h </w:instrText>
      </w:r>
      <w:r>
        <w:fldChar w:fldCharType="separate"/>
      </w:r>
      <w:r>
        <w:t>97</w:t>
      </w:r>
      <w:r>
        <w:fldChar w:fldCharType="end"/>
      </w:r>
    </w:p>
    <w:p>
      <w:pPr>
        <w:pStyle w:val="18"/>
        <w:tabs>
          <w:tab w:val="right" w:leader="dot" w:pos="9641"/>
          <w:tab w:val="clear" w:pos="9639"/>
        </w:tabs>
      </w:pPr>
      <w:r>
        <w:rPr>
          <w:lang w:eastAsia="en-US"/>
        </w:rPr>
        <w:t>7.2.3.6 Out of band blocking</w:t>
      </w:r>
      <w:r>
        <w:tab/>
      </w:r>
      <w:r>
        <w:fldChar w:fldCharType="begin"/>
      </w:r>
      <w:r>
        <w:instrText xml:space="preserve"> PAGEREF _Toc29726 \h </w:instrText>
      </w:r>
      <w:r>
        <w:fldChar w:fldCharType="separate"/>
      </w:r>
      <w:r>
        <w:t>97</w:t>
      </w:r>
      <w:r>
        <w:fldChar w:fldCharType="end"/>
      </w:r>
    </w:p>
    <w:p>
      <w:pPr>
        <w:pStyle w:val="18"/>
        <w:tabs>
          <w:tab w:val="right" w:leader="dot" w:pos="9641"/>
          <w:tab w:val="clear" w:pos="9639"/>
        </w:tabs>
      </w:pPr>
      <w:r>
        <w:rPr>
          <w:lang w:eastAsia="en-US"/>
        </w:rPr>
        <w:t>7.2.3.7 In-channel selectivity</w:t>
      </w:r>
      <w:r>
        <w:tab/>
      </w:r>
      <w:r>
        <w:fldChar w:fldCharType="begin"/>
      </w:r>
      <w:r>
        <w:instrText xml:space="preserve"> PAGEREF _Toc12615 \h </w:instrText>
      </w:r>
      <w:r>
        <w:fldChar w:fldCharType="separate"/>
      </w:r>
      <w:r>
        <w:t>97</w:t>
      </w:r>
      <w:r>
        <w:fldChar w:fldCharType="end"/>
      </w:r>
    </w:p>
    <w:p>
      <w:pPr>
        <w:pStyle w:val="21"/>
        <w:tabs>
          <w:tab w:val="right" w:pos="2000"/>
          <w:tab w:val="right" w:leader="dot" w:pos="9641"/>
          <w:tab w:val="clear" w:pos="9639"/>
        </w:tabs>
      </w:pPr>
      <w:r>
        <w:rPr>
          <w:rFonts w:hint="eastAsia"/>
          <w:lang w:val="sv-SE" w:eastAsia="zh-CN"/>
        </w:rPr>
        <w:t>8</w:t>
      </w:r>
      <w:r>
        <w:rPr>
          <w:lang w:val="sv-SE"/>
        </w:rPr>
        <w:tab/>
      </w:r>
      <w:r>
        <w:rPr>
          <w:rFonts w:hint="eastAsia"/>
          <w:lang w:val="sv-SE" w:eastAsia="zh-CN"/>
        </w:rPr>
        <w:t>RRM requirements</w:t>
      </w:r>
      <w:r>
        <w:tab/>
      </w:r>
      <w:r>
        <w:fldChar w:fldCharType="begin"/>
      </w:r>
      <w:r>
        <w:instrText xml:space="preserve"> PAGEREF _Toc21100 \h </w:instrText>
      </w:r>
      <w:r>
        <w:fldChar w:fldCharType="separate"/>
      </w:r>
      <w:r>
        <w:t>97</w:t>
      </w:r>
      <w:r>
        <w:fldChar w:fldCharType="end"/>
      </w:r>
    </w:p>
    <w:p>
      <w:pPr>
        <w:pStyle w:val="20"/>
        <w:tabs>
          <w:tab w:val="right" w:leader="dot" w:pos="9641"/>
          <w:tab w:val="clear" w:pos="9639"/>
        </w:tabs>
      </w:pPr>
      <w:r>
        <w:t>8.1 General</w:t>
      </w:r>
      <w:r>
        <w:tab/>
      </w:r>
      <w:r>
        <w:fldChar w:fldCharType="begin"/>
      </w:r>
      <w:r>
        <w:instrText xml:space="preserve"> PAGEREF _Toc3792 \h </w:instrText>
      </w:r>
      <w:r>
        <w:fldChar w:fldCharType="separate"/>
      </w:r>
      <w:r>
        <w:t>97</w:t>
      </w:r>
      <w:r>
        <w:fldChar w:fldCharType="end"/>
      </w:r>
    </w:p>
    <w:p>
      <w:pPr>
        <w:pStyle w:val="21"/>
        <w:tabs>
          <w:tab w:val="right" w:pos="2000"/>
          <w:tab w:val="right" w:leader="dot" w:pos="9641"/>
          <w:tab w:val="clear" w:pos="9639"/>
        </w:tabs>
      </w:pPr>
      <w:r>
        <w:rPr>
          <w:rFonts w:hint="eastAsia"/>
          <w:lang w:eastAsia="zh-CN"/>
        </w:rPr>
        <w:t>9</w:t>
      </w:r>
      <w:r>
        <w:tab/>
      </w:r>
      <w:r>
        <w:rPr>
          <w:rFonts w:hint="eastAsia"/>
          <w:lang w:eastAsia="zh-CN"/>
        </w:rPr>
        <w:t>Conclusion</w:t>
      </w:r>
      <w:r>
        <w:tab/>
      </w:r>
      <w:r>
        <w:fldChar w:fldCharType="begin"/>
      </w:r>
      <w:r>
        <w:instrText xml:space="preserve"> PAGEREF _Toc15642 \h </w:instrText>
      </w:r>
      <w:r>
        <w:fldChar w:fldCharType="separate"/>
      </w:r>
      <w:r>
        <w:t>100</w:t>
      </w:r>
      <w:r>
        <w:fldChar w:fldCharType="end"/>
      </w:r>
    </w:p>
    <w:p>
      <w:pPr>
        <w:pStyle w:val="21"/>
        <w:tabs>
          <w:tab w:val="right" w:pos="2000"/>
          <w:tab w:val="right" w:leader="dot" w:pos="9641"/>
          <w:tab w:val="clear" w:pos="9639"/>
        </w:tabs>
      </w:pPr>
      <w:r>
        <w:rPr>
          <w:rFonts w:hint="eastAsia"/>
          <w:lang w:eastAsia="zh-CN"/>
        </w:rPr>
        <w:t>1</w:t>
      </w:r>
      <w:r>
        <w:rPr>
          <w:rFonts w:hint="eastAsia"/>
        </w:rPr>
        <w:t>0</w:t>
      </w:r>
      <w:r>
        <w:tab/>
      </w:r>
      <w:r>
        <w:t>Required changes to NR</w:t>
      </w:r>
      <w:r>
        <w:rPr>
          <w:rFonts w:hint="eastAsia"/>
        </w:rPr>
        <w:t xml:space="preserve">, </w:t>
      </w:r>
      <w:r>
        <w:t>E-UTRA, UTRA and MSR specifications</w:t>
      </w:r>
      <w:r>
        <w:tab/>
      </w:r>
      <w:r>
        <w:fldChar w:fldCharType="begin"/>
      </w:r>
      <w:r>
        <w:instrText xml:space="preserve"> PAGEREF _Toc32527 \h </w:instrText>
      </w:r>
      <w:r>
        <w:fldChar w:fldCharType="separate"/>
      </w:r>
      <w:r>
        <w:t>100</w:t>
      </w:r>
      <w:r>
        <w:fldChar w:fldCharType="end"/>
      </w:r>
    </w:p>
    <w:p>
      <w:pPr>
        <w:pStyle w:val="21"/>
        <w:tabs>
          <w:tab w:val="right" w:pos="2400"/>
          <w:tab w:val="right" w:leader="dot" w:pos="9641"/>
          <w:tab w:val="clear" w:pos="9639"/>
        </w:tabs>
      </w:pPr>
      <w:r>
        <w:rPr>
          <w:rFonts w:hint="eastAsia"/>
          <w:lang w:eastAsia="zh-CN"/>
        </w:rPr>
        <w:t>Annex</w:t>
      </w:r>
      <w:r>
        <w:rPr>
          <w:rFonts w:hint="eastAsia"/>
          <w:lang w:eastAsia="zh-CN"/>
        </w:rPr>
        <w:tab/>
      </w:r>
      <w:r>
        <w:rPr>
          <w:rFonts w:hint="eastAsia"/>
          <w:lang w:eastAsia="zh-CN"/>
        </w:rPr>
        <w:t xml:space="preserve">A: Calibration results of </w:t>
      </w:r>
      <w:r>
        <w:rPr>
          <w:rFonts w:hint="eastAsia"/>
          <w:lang w:val="en-US" w:eastAsia="zh-CN"/>
        </w:rPr>
        <w:t>synchronized operation</w:t>
      </w:r>
      <w:r>
        <w:tab/>
      </w:r>
      <w:r>
        <w:fldChar w:fldCharType="begin"/>
      </w:r>
      <w:r>
        <w:instrText xml:space="preserve"> PAGEREF _Toc11555 \h </w:instrText>
      </w:r>
      <w:r>
        <w:fldChar w:fldCharType="separate"/>
      </w:r>
      <w:r>
        <w:t>101</w:t>
      </w:r>
      <w:r>
        <w:fldChar w:fldCharType="end"/>
      </w:r>
    </w:p>
    <w:p>
      <w:pPr>
        <w:pStyle w:val="20"/>
        <w:tabs>
          <w:tab w:val="right" w:pos="2000"/>
          <w:tab w:val="right" w:leader="dot" w:pos="9641"/>
          <w:tab w:val="clear" w:pos="9639"/>
        </w:tabs>
      </w:pPr>
      <w:r>
        <w:t>A.1</w:t>
      </w:r>
      <w:r>
        <w:tab/>
      </w:r>
      <w:r>
        <w:t>Calibration assumptions</w:t>
      </w:r>
      <w:r>
        <w:tab/>
      </w:r>
      <w:r>
        <w:fldChar w:fldCharType="begin"/>
      </w:r>
      <w:r>
        <w:instrText xml:space="preserve"> PAGEREF _Toc30652 \h </w:instrText>
      </w:r>
      <w:r>
        <w:fldChar w:fldCharType="separate"/>
      </w:r>
      <w:r>
        <w:t>101</w:t>
      </w:r>
      <w:r>
        <w:fldChar w:fldCharType="end"/>
      </w:r>
    </w:p>
    <w:p>
      <w:pPr>
        <w:pStyle w:val="20"/>
        <w:tabs>
          <w:tab w:val="right" w:pos="2000"/>
          <w:tab w:val="right" w:leader="dot" w:pos="9641"/>
          <w:tab w:val="clear" w:pos="9639"/>
        </w:tabs>
      </w:pPr>
      <w:r>
        <w:t>A.2</w:t>
      </w:r>
      <w:r>
        <w:tab/>
      </w:r>
      <w:r>
        <w:t>Calibration results at 2GHz</w:t>
      </w:r>
      <w:r>
        <w:rPr>
          <w:rFonts w:hint="eastAsia"/>
          <w:lang w:val="en-US" w:eastAsia="zh-CN"/>
        </w:rPr>
        <w:t xml:space="preserve"> and 4GHz</w:t>
      </w:r>
      <w:r>
        <w:tab/>
      </w:r>
      <w:r>
        <w:fldChar w:fldCharType="begin"/>
      </w:r>
      <w:r>
        <w:instrText xml:space="preserve"> PAGEREF _Toc18280 \h </w:instrText>
      </w:r>
      <w:r>
        <w:fldChar w:fldCharType="separate"/>
      </w:r>
      <w:r>
        <w:t>101</w:t>
      </w:r>
      <w:r>
        <w:fldChar w:fldCharType="end"/>
      </w:r>
    </w:p>
    <w:p>
      <w:pPr>
        <w:pStyle w:val="21"/>
        <w:tabs>
          <w:tab w:val="right" w:pos="2400"/>
          <w:tab w:val="right" w:leader="dot" w:pos="9641"/>
          <w:tab w:val="clear" w:pos="9639"/>
        </w:tabs>
      </w:pPr>
      <w:r>
        <w:rPr>
          <w:rFonts w:hint="eastAsia"/>
          <w:lang w:eastAsia="zh-CN"/>
        </w:rPr>
        <w:t>Annex B:</w:t>
      </w:r>
      <w:r>
        <w:rPr>
          <w:rFonts w:hint="eastAsia"/>
          <w:lang w:eastAsia="zh-CN"/>
        </w:rPr>
        <w:tab/>
      </w:r>
      <w:r>
        <w:rPr>
          <w:rFonts w:hint="eastAsia"/>
          <w:lang w:eastAsia="zh-CN"/>
        </w:rPr>
        <w:t xml:space="preserve">Calibration results of </w:t>
      </w:r>
      <w:r>
        <w:rPr>
          <w:rFonts w:hint="eastAsia"/>
          <w:lang w:val="en-US" w:eastAsia="zh-CN"/>
        </w:rPr>
        <w:t>non-synchronized operation</w:t>
      </w:r>
      <w:r>
        <w:tab/>
      </w:r>
      <w:r>
        <w:fldChar w:fldCharType="begin"/>
      </w:r>
      <w:r>
        <w:instrText xml:space="preserve"> PAGEREF _Toc43 \h </w:instrText>
      </w:r>
      <w:r>
        <w:fldChar w:fldCharType="separate"/>
      </w:r>
      <w:r>
        <w:t>101</w:t>
      </w:r>
      <w:r>
        <w:fldChar w:fldCharType="end"/>
      </w:r>
    </w:p>
    <w:p>
      <w:pPr>
        <w:pStyle w:val="20"/>
        <w:tabs>
          <w:tab w:val="right" w:pos="2000"/>
          <w:tab w:val="right" w:leader="dot" w:pos="9641"/>
          <w:tab w:val="clear" w:pos="9639"/>
        </w:tabs>
      </w:pPr>
      <w:r>
        <w:t>B.1</w:t>
      </w:r>
      <w:r>
        <w:tab/>
      </w:r>
      <w:r>
        <w:t>Calibration assumptions</w:t>
      </w:r>
      <w:r>
        <w:tab/>
      </w:r>
      <w:r>
        <w:fldChar w:fldCharType="begin"/>
      </w:r>
      <w:r>
        <w:instrText xml:space="preserve"> PAGEREF _Toc31738 \h </w:instrText>
      </w:r>
      <w:r>
        <w:fldChar w:fldCharType="separate"/>
      </w:r>
      <w:r>
        <w:t>101</w:t>
      </w:r>
      <w:r>
        <w:fldChar w:fldCharType="end"/>
      </w:r>
    </w:p>
    <w:p>
      <w:pPr>
        <w:pStyle w:val="20"/>
        <w:tabs>
          <w:tab w:val="right" w:pos="2000"/>
          <w:tab w:val="right" w:leader="dot" w:pos="9641"/>
          <w:tab w:val="clear" w:pos="9639"/>
        </w:tabs>
      </w:pPr>
      <w:r>
        <w:t>B.2</w:t>
      </w:r>
      <w:r>
        <w:tab/>
      </w:r>
      <w:r>
        <w:t>Calibration results at 2GHz</w:t>
      </w:r>
      <w:r>
        <w:rPr>
          <w:rFonts w:hint="eastAsia" w:eastAsia="SimSun"/>
          <w:lang w:val="en-US" w:eastAsia="zh-CN"/>
        </w:rPr>
        <w:t xml:space="preserve"> and 4GHz</w:t>
      </w:r>
      <w:r>
        <w:tab/>
      </w:r>
      <w:r>
        <w:fldChar w:fldCharType="begin"/>
      </w:r>
      <w:r>
        <w:instrText xml:space="preserve"> PAGEREF _Toc32250 \h </w:instrText>
      </w:r>
      <w:r>
        <w:fldChar w:fldCharType="separate"/>
      </w:r>
      <w:r>
        <w:t>102</w:t>
      </w:r>
      <w:r>
        <w:fldChar w:fldCharType="end"/>
      </w:r>
    </w:p>
    <w:p>
      <w:pPr>
        <w:pStyle w:val="21"/>
        <w:tabs>
          <w:tab w:val="right" w:leader="dot" w:pos="9641"/>
          <w:tab w:val="clear" w:pos="9639"/>
        </w:tabs>
      </w:pPr>
      <w:r>
        <w:rPr>
          <w:rFonts w:hint="eastAsia" w:eastAsia="Times New Roman"/>
          <w:lang w:eastAsia="zh-CN"/>
        </w:rPr>
        <w:t>Annex C</w:t>
      </w:r>
      <w:r>
        <w:rPr>
          <w:rFonts w:hint="eastAsia"/>
          <w:lang w:val="en-US" w:eastAsia="zh-CN"/>
        </w:rPr>
        <w:t>:</w:t>
      </w:r>
      <w:r>
        <w:rPr>
          <w:rFonts w:hint="eastAsia" w:eastAsia="Times New Roman"/>
          <w:lang w:eastAsia="zh-CN"/>
        </w:rPr>
        <w:t xml:space="preserve"> Co-existence scenarios simulation data</w:t>
      </w:r>
      <w:r>
        <w:tab/>
      </w:r>
      <w:r>
        <w:fldChar w:fldCharType="begin"/>
      </w:r>
      <w:r>
        <w:instrText xml:space="preserve"> PAGEREF _Toc8353 \h </w:instrText>
      </w:r>
      <w:r>
        <w:fldChar w:fldCharType="separate"/>
      </w:r>
      <w:r>
        <w:t>102</w:t>
      </w:r>
      <w:r>
        <w:fldChar w:fldCharType="end"/>
      </w:r>
    </w:p>
    <w:p>
      <w:pPr>
        <w:pStyle w:val="20"/>
        <w:tabs>
          <w:tab w:val="right" w:leader="dot" w:pos="9641"/>
          <w:tab w:val="clear" w:pos="9639"/>
        </w:tabs>
      </w:pPr>
      <w:r>
        <w:t>C.1 Synchronized scenarios</w:t>
      </w:r>
      <w:r>
        <w:tab/>
      </w:r>
      <w:r>
        <w:fldChar w:fldCharType="begin"/>
      </w:r>
      <w:r>
        <w:instrText xml:space="preserve"> PAGEREF _Toc25573 \h </w:instrText>
      </w:r>
      <w:r>
        <w:fldChar w:fldCharType="separate"/>
      </w:r>
      <w:r>
        <w:t>102</w:t>
      </w:r>
      <w:r>
        <w:fldChar w:fldCharType="end"/>
      </w:r>
    </w:p>
    <w:p>
      <w:pPr>
        <w:pStyle w:val="20"/>
        <w:tabs>
          <w:tab w:val="right" w:leader="dot" w:pos="9641"/>
          <w:tab w:val="clear" w:pos="9639"/>
        </w:tabs>
      </w:pPr>
      <w:r>
        <w:t>C.2 Non-Synchronized scenarios</w:t>
      </w:r>
      <w:r>
        <w:tab/>
      </w:r>
      <w:r>
        <w:fldChar w:fldCharType="begin"/>
      </w:r>
      <w:r>
        <w:instrText xml:space="preserve"> PAGEREF _Toc26847 \h </w:instrText>
      </w:r>
      <w:r>
        <w:fldChar w:fldCharType="separate"/>
      </w:r>
      <w:r>
        <w:t>102</w:t>
      </w:r>
      <w:r>
        <w:fldChar w:fldCharType="end"/>
      </w:r>
    </w:p>
    <w:p>
      <w:pPr>
        <w:pStyle w:val="21"/>
        <w:tabs>
          <w:tab w:val="right" w:leader="dot" w:pos="9641"/>
          <w:tab w:val="clear" w:pos="9639"/>
        </w:tabs>
      </w:pPr>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r>
        <w:tab/>
      </w:r>
      <w:r>
        <w:fldChar w:fldCharType="begin"/>
      </w:r>
      <w:r>
        <w:instrText xml:space="preserve"> PAGEREF _Toc15444 \h </w:instrText>
      </w:r>
      <w:r>
        <w:fldChar w:fldCharType="separate"/>
      </w:r>
      <w:r>
        <w:t>103</w:t>
      </w:r>
      <w:r>
        <w:fldChar w:fldCharType="end"/>
      </w:r>
    </w:p>
    <w:p>
      <w:pPr>
        <w:pStyle w:val="20"/>
        <w:tabs>
          <w:tab w:val="right" w:leader="dot" w:pos="9641"/>
          <w:tab w:val="clear" w:pos="9639"/>
        </w:tabs>
      </w:pPr>
      <w:r>
        <w:rPr>
          <w:lang w:eastAsia="ja-JP"/>
        </w:rPr>
        <w:t>D.1 Synchronized scenarios</w:t>
      </w:r>
      <w:r>
        <w:tab/>
      </w:r>
      <w:r>
        <w:fldChar w:fldCharType="begin"/>
      </w:r>
      <w:r>
        <w:instrText xml:space="preserve"> PAGEREF _Toc28345 \h </w:instrText>
      </w:r>
      <w:r>
        <w:fldChar w:fldCharType="separate"/>
      </w:r>
      <w:r>
        <w:t>103</w:t>
      </w:r>
      <w:r>
        <w:fldChar w:fldCharType="end"/>
      </w:r>
    </w:p>
    <w:p>
      <w:pPr>
        <w:pStyle w:val="19"/>
        <w:tabs>
          <w:tab w:val="right" w:leader="dot" w:pos="9641"/>
          <w:tab w:val="clear" w:pos="9639"/>
        </w:tabs>
      </w:pPr>
      <w:r>
        <w:rPr>
          <w:lang w:val="en-IN" w:eastAsia="ja-JP"/>
        </w:rPr>
        <w:t xml:space="preserve">D.1.1  </w:t>
      </w:r>
      <w:r>
        <w:rPr>
          <w:lang w:eastAsia="ja-JP"/>
        </w:rPr>
        <w:t>Impact of the number of TN BS columns</w:t>
      </w:r>
      <w:r>
        <w:tab/>
      </w:r>
      <w:r>
        <w:fldChar w:fldCharType="begin"/>
      </w:r>
      <w:r>
        <w:instrText xml:space="preserve"> PAGEREF _Toc5489 \h </w:instrText>
      </w:r>
      <w:r>
        <w:fldChar w:fldCharType="separate"/>
      </w:r>
      <w:r>
        <w:t>103</w:t>
      </w:r>
      <w:r>
        <w:fldChar w:fldCharType="end"/>
      </w:r>
    </w:p>
    <w:p>
      <w:pPr>
        <w:pStyle w:val="19"/>
        <w:tabs>
          <w:tab w:val="right" w:leader="dot" w:pos="9641"/>
          <w:tab w:val="clear" w:pos="9639"/>
        </w:tabs>
      </w:pPr>
      <w:r>
        <w:rPr>
          <w:lang w:val="en-IN" w:eastAsia="ja-JP"/>
        </w:rPr>
        <w:t xml:space="preserve">D.1.2  </w:t>
      </w:r>
      <w:r>
        <w:rPr>
          <w:lang w:eastAsia="ja-JP"/>
        </w:rPr>
        <w:t>Impact of ATG UE antenna type</w:t>
      </w:r>
      <w:r>
        <w:tab/>
      </w:r>
      <w:r>
        <w:fldChar w:fldCharType="begin"/>
      </w:r>
      <w:r>
        <w:instrText xml:space="preserve"> PAGEREF _Toc23302 \h </w:instrText>
      </w:r>
      <w:r>
        <w:fldChar w:fldCharType="separate"/>
      </w:r>
      <w:r>
        <w:t>103</w:t>
      </w:r>
      <w:r>
        <w:fldChar w:fldCharType="end"/>
      </w:r>
    </w:p>
    <w:p>
      <w:pPr>
        <w:pStyle w:val="19"/>
        <w:tabs>
          <w:tab w:val="right" w:leader="dot" w:pos="9641"/>
          <w:tab w:val="clear" w:pos="9639"/>
        </w:tabs>
      </w:pPr>
      <w:r>
        <w:rPr>
          <w:lang w:val="en-IN" w:eastAsia="ja-JP"/>
        </w:rPr>
        <w:t xml:space="preserve">D.1.3  </w:t>
      </w:r>
      <w:r>
        <w:rPr>
          <w:lang w:eastAsia="ja-JP"/>
        </w:rPr>
        <w:t>Impact of ATG-TN BS antennas collocation</w:t>
      </w:r>
      <w:r>
        <w:tab/>
      </w:r>
      <w:r>
        <w:fldChar w:fldCharType="begin"/>
      </w:r>
      <w:r>
        <w:instrText xml:space="preserve"> PAGEREF _Toc17085 \h </w:instrText>
      </w:r>
      <w:r>
        <w:fldChar w:fldCharType="separate"/>
      </w:r>
      <w:r>
        <w:t>104</w:t>
      </w:r>
      <w:r>
        <w:fldChar w:fldCharType="end"/>
      </w:r>
    </w:p>
    <w:p>
      <w:pPr>
        <w:pStyle w:val="19"/>
        <w:tabs>
          <w:tab w:val="right" w:leader="dot" w:pos="9641"/>
          <w:tab w:val="clear" w:pos="9639"/>
        </w:tabs>
      </w:pPr>
      <w:r>
        <w:rPr>
          <w:lang w:val="en-IN" w:eastAsia="ja-JP"/>
        </w:rPr>
        <w:t xml:space="preserve">D.1.4  </w:t>
      </w:r>
      <w:r>
        <w:rPr>
          <w:lang w:eastAsia="ja-JP"/>
        </w:rPr>
        <w:t>Impact of ATG UE height distribution</w:t>
      </w:r>
      <w:r>
        <w:tab/>
      </w:r>
      <w:r>
        <w:fldChar w:fldCharType="begin"/>
      </w:r>
      <w:r>
        <w:instrText xml:space="preserve"> PAGEREF _Toc28963 \h </w:instrText>
      </w:r>
      <w:r>
        <w:fldChar w:fldCharType="separate"/>
      </w:r>
      <w:r>
        <w:t>104</w:t>
      </w:r>
      <w:r>
        <w:fldChar w:fldCharType="end"/>
      </w:r>
    </w:p>
    <w:p>
      <w:pPr>
        <w:pStyle w:val="20"/>
        <w:tabs>
          <w:tab w:val="right" w:leader="dot" w:pos="9641"/>
          <w:tab w:val="clear" w:pos="9639"/>
        </w:tabs>
      </w:pPr>
      <w:r>
        <w:rPr>
          <w:lang w:eastAsia="ja-JP"/>
        </w:rPr>
        <w:t>D.2 Non-Synchronized scenarios</w:t>
      </w:r>
      <w:r>
        <w:tab/>
      </w:r>
      <w:r>
        <w:fldChar w:fldCharType="begin"/>
      </w:r>
      <w:r>
        <w:instrText xml:space="preserve"> PAGEREF _Toc18559 \h </w:instrText>
      </w:r>
      <w:r>
        <w:fldChar w:fldCharType="separate"/>
      </w:r>
      <w:r>
        <w:t>106</w:t>
      </w:r>
      <w:r>
        <w:fldChar w:fldCharType="end"/>
      </w:r>
    </w:p>
    <w:p>
      <w:pPr>
        <w:pStyle w:val="21"/>
        <w:tabs>
          <w:tab w:val="right" w:leader="dot" w:pos="9641"/>
          <w:tab w:val="clear" w:pos="9639"/>
        </w:tabs>
      </w:pPr>
      <w:r>
        <w:rPr>
          <w:rFonts w:hint="eastAsia" w:eastAsia="Times New Roman"/>
          <w:lang w:eastAsia="zh-CN"/>
        </w:rPr>
        <w:t xml:space="preserve">Annex </w:t>
      </w:r>
      <w:r>
        <w:rPr>
          <w:rFonts w:hint="eastAsia" w:eastAsia="Times New Roman"/>
          <w:lang w:val="en-US" w:eastAsia="zh-CN"/>
        </w:rPr>
        <w:t>E</w:t>
      </w:r>
      <w:r>
        <w:rPr>
          <w:rFonts w:hint="eastAsia" w:eastAsia="Times New Roman"/>
          <w:lang w:eastAsia="zh-CN"/>
        </w:rPr>
        <w:t>: Change history</w:t>
      </w:r>
      <w:r>
        <w:tab/>
      </w:r>
      <w:r>
        <w:fldChar w:fldCharType="begin"/>
      </w:r>
      <w:r>
        <w:instrText xml:space="preserve"> PAGEREF _Toc8494 \h </w:instrText>
      </w:r>
      <w:r>
        <w:fldChar w:fldCharType="separate"/>
      </w:r>
      <w:r>
        <w:t>107</w:t>
      </w:r>
      <w:r>
        <w:fldChar w:fldCharType="end"/>
      </w:r>
    </w:p>
    <w:p>
      <w:r>
        <w:rPr>
          <w:sz w:val="22"/>
        </w:rPr>
        <w:fldChar w:fldCharType="end"/>
      </w:r>
    </w:p>
    <w:p>
      <w:pPr>
        <w:pStyle w:val="2"/>
      </w:pPr>
      <w:r>
        <w:br w:type="page"/>
      </w:r>
      <w:bookmarkStart w:id="3" w:name="_Toc473553993"/>
      <w:bookmarkStart w:id="4" w:name="_Toc4012"/>
      <w:bookmarkStart w:id="5" w:name="_Toc5871"/>
      <w:bookmarkStart w:id="6" w:name="_Toc4368"/>
      <w:bookmarkStart w:id="7" w:name="_Toc6217"/>
      <w:bookmarkStart w:id="8" w:name="_Toc133498111"/>
      <w:bookmarkStart w:id="9" w:name="_Toc10304"/>
      <w:r>
        <w:t>Foreword</w:t>
      </w:r>
      <w:bookmarkEnd w:id="3"/>
      <w:bookmarkEnd w:id="4"/>
      <w:bookmarkEnd w:id="5"/>
      <w:bookmarkEnd w:id="6"/>
      <w:bookmarkEnd w:id="7"/>
      <w:bookmarkEnd w:id="8"/>
      <w:bookmarkEnd w:id="9"/>
    </w:p>
    <w:p>
      <w:r>
        <w:t>This Technical Report has been produced by the 3</w:t>
      </w:r>
      <w:r>
        <w:rPr>
          <w:vertAlign w:val="superscript"/>
        </w:rPr>
        <w:t>rd</w:t>
      </w:r>
      <w:r>
        <w:t xml:space="preserve">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74"/>
      </w:pPr>
      <w:r>
        <w:t>Version x.y.z</w:t>
      </w:r>
    </w:p>
    <w:p>
      <w:pPr>
        <w:pStyle w:val="74"/>
      </w:pPr>
      <w:r>
        <w:t>where:</w:t>
      </w:r>
    </w:p>
    <w:p>
      <w:pPr>
        <w:pStyle w:val="85"/>
      </w:pPr>
      <w:r>
        <w:t>x</w:t>
      </w:r>
      <w:r>
        <w:tab/>
      </w:r>
      <w:r>
        <w:t>the first digit:</w:t>
      </w:r>
    </w:p>
    <w:p>
      <w:pPr>
        <w:pStyle w:val="86"/>
      </w:pPr>
      <w:r>
        <w:t>1</w:t>
      </w:r>
      <w:r>
        <w:tab/>
      </w:r>
      <w:r>
        <w:t>presented to TSG for information;</w:t>
      </w:r>
    </w:p>
    <w:p>
      <w:pPr>
        <w:pStyle w:val="86"/>
      </w:pPr>
      <w:r>
        <w:t>2</w:t>
      </w:r>
      <w:r>
        <w:tab/>
      </w:r>
      <w:r>
        <w:t>presented to TSG for approval;</w:t>
      </w:r>
    </w:p>
    <w:p>
      <w:pPr>
        <w:pStyle w:val="86"/>
      </w:pPr>
      <w:r>
        <w:t>3</w:t>
      </w:r>
      <w:r>
        <w:tab/>
      </w:r>
      <w:r>
        <w:t>or greater indicates TSG approved document under change control.</w:t>
      </w:r>
    </w:p>
    <w:p>
      <w:pPr>
        <w:pStyle w:val="85"/>
      </w:pPr>
      <w:r>
        <w:t>y</w:t>
      </w:r>
      <w:r>
        <w:tab/>
      </w:r>
      <w:r>
        <w:t>the second digit is incremented for all changes of substance, i.e. technical enhancements, corrections, updates, etc.</w:t>
      </w:r>
    </w:p>
    <w:p>
      <w:pPr>
        <w:pStyle w:val="85"/>
      </w:pPr>
      <w:r>
        <w:t>z</w:t>
      </w:r>
      <w:r>
        <w:tab/>
      </w:r>
      <w:r>
        <w:t>the third digit is incremented when editorial only changes have been incorporated in the document.</w:t>
      </w:r>
    </w:p>
    <w:p>
      <w:pPr>
        <w:rPr>
          <w:rFonts w:eastAsia="SimSun"/>
          <w:lang w:val="en-US" w:eastAsia="zh-CN"/>
        </w:rPr>
      </w:pPr>
      <w:r>
        <w:br w:type="page"/>
      </w:r>
    </w:p>
    <w:p>
      <w:pPr>
        <w:pStyle w:val="2"/>
        <w:rPr>
          <w:lang w:eastAsia="zh-CN"/>
        </w:rPr>
      </w:pPr>
      <w:bookmarkStart w:id="10" w:name="_Toc24159"/>
      <w:bookmarkStart w:id="11" w:name="_Toc473553994"/>
      <w:bookmarkStart w:id="12" w:name="_Toc28881"/>
      <w:bookmarkStart w:id="13" w:name="_Toc14449"/>
      <w:bookmarkStart w:id="14" w:name="_Toc27498"/>
      <w:bookmarkStart w:id="15" w:name="_Toc133498112"/>
      <w:bookmarkStart w:id="16" w:name="_Toc11250"/>
      <w:r>
        <w:rPr>
          <w:lang w:eastAsia="zh-CN"/>
        </w:rPr>
        <w:t>1</w:t>
      </w:r>
      <w:r>
        <w:rPr>
          <w:lang w:eastAsia="zh-CN"/>
        </w:rPr>
        <w:tab/>
      </w:r>
      <w:r>
        <w:rPr>
          <w:lang w:eastAsia="zh-CN"/>
        </w:rPr>
        <w:t>Scope</w:t>
      </w:r>
      <w:bookmarkEnd w:id="10"/>
      <w:bookmarkEnd w:id="11"/>
      <w:bookmarkEnd w:id="12"/>
      <w:bookmarkEnd w:id="13"/>
      <w:bookmarkEnd w:id="14"/>
      <w:bookmarkEnd w:id="15"/>
      <w:bookmarkEnd w:id="16"/>
    </w:p>
    <w:p>
      <w:r>
        <w:t>The present document covers the RF</w:t>
      </w:r>
      <w:r>
        <w:rPr>
          <w:rFonts w:hint="eastAsia" w:eastAsia="SimSun"/>
          <w:lang w:val="en-US" w:eastAsia="zh-CN"/>
        </w:rPr>
        <w:t>, RRM</w:t>
      </w:r>
      <w:r>
        <w:t xml:space="preserve"> and co-existence aspects of the work item “Air-to-ground network for NR” [2]</w:t>
      </w:r>
    </w:p>
    <w:p>
      <w:r>
        <w:t xml:space="preserve">The objectives for the study are the following: </w:t>
      </w:r>
    </w:p>
    <w:p>
      <w:pPr>
        <w:ind w:left="568" w:hanging="284"/>
      </w:pPr>
      <w:r>
        <w:t>-</w:t>
      </w:r>
      <w:r>
        <w:tab/>
      </w:r>
      <w:r>
        <w:t>Study and evaluate adjacent channel co-existence for ATG scenarios.</w:t>
      </w:r>
    </w:p>
    <w:p>
      <w:pPr>
        <w:ind w:left="568" w:hanging="284"/>
      </w:pPr>
      <w:r>
        <w:t>-</w:t>
      </w:r>
      <w:r>
        <w:tab/>
      </w:r>
      <w:r>
        <w:t xml:space="preserve">Study and specify RF core requirements for ATG network and the ATG UE such that ATG deployment are well supported. </w:t>
      </w:r>
    </w:p>
    <w:p>
      <w:pPr>
        <w:ind w:left="568" w:hanging="284"/>
      </w:pPr>
      <w:r>
        <w:t>-</w:t>
      </w:r>
      <w:r>
        <w:tab/>
      </w:r>
      <w:r>
        <w:t>Study and specify RRM requirement supporting ATG network deployment and ATG UE mobility</w:t>
      </w:r>
    </w:p>
    <w:p>
      <w:pPr>
        <w:rPr>
          <w:lang w:eastAsia="zh-CN"/>
        </w:rPr>
      </w:pPr>
    </w:p>
    <w:p>
      <w:pPr>
        <w:pStyle w:val="2"/>
        <w:rPr>
          <w:lang w:eastAsia="zh-CN"/>
        </w:rPr>
      </w:pPr>
      <w:bookmarkStart w:id="17" w:name="_Toc133498113"/>
      <w:bookmarkStart w:id="18" w:name="_Toc6256"/>
      <w:bookmarkStart w:id="19" w:name="_Toc22425"/>
      <w:bookmarkStart w:id="20" w:name="_Toc25082"/>
      <w:bookmarkStart w:id="21" w:name="_Toc24143"/>
      <w:bookmarkStart w:id="22" w:name="_Toc27183"/>
      <w:bookmarkStart w:id="23" w:name="_Toc473553995"/>
      <w:r>
        <w:rPr>
          <w:lang w:eastAsia="zh-CN"/>
        </w:rPr>
        <w:t>2</w:t>
      </w:r>
      <w:r>
        <w:rPr>
          <w:lang w:eastAsia="zh-CN"/>
        </w:rPr>
        <w:tab/>
      </w:r>
      <w:r>
        <w:rPr>
          <w:lang w:eastAsia="zh-CN"/>
        </w:rPr>
        <w:t>References</w:t>
      </w:r>
      <w:bookmarkEnd w:id="17"/>
      <w:bookmarkEnd w:id="18"/>
      <w:bookmarkEnd w:id="19"/>
      <w:bookmarkEnd w:id="20"/>
      <w:bookmarkEnd w:id="21"/>
      <w:bookmarkEnd w:id="22"/>
      <w:bookmarkEnd w:id="23"/>
    </w:p>
    <w:p>
      <w:r>
        <w:t>The following documents contain provisions which, through reference in this text, constitute provisions of the present document.</w:t>
      </w:r>
    </w:p>
    <w:p>
      <w:pPr>
        <w:ind w:left="568" w:hanging="284"/>
      </w:pPr>
      <w:r>
        <w:t>-</w:t>
      </w:r>
      <w:r>
        <w:tab/>
      </w:r>
      <w:r>
        <w:t>References are either specific (identified by date of publication, edition number, version number, etc.) or non</w:t>
      </w:r>
      <w:r>
        <w:noBreakHyphen/>
      </w:r>
      <w:r>
        <w:t>specific.</w:t>
      </w:r>
    </w:p>
    <w:p>
      <w:pPr>
        <w:ind w:left="568" w:hanging="284"/>
      </w:pPr>
      <w:r>
        <w:t>-</w:t>
      </w:r>
      <w:r>
        <w:tab/>
      </w:r>
      <w:r>
        <w:t>For a specific reference, subsequent revisions do not apply.</w:t>
      </w:r>
    </w:p>
    <w:p>
      <w:pPr>
        <w:ind w:left="568" w:hanging="284"/>
      </w:pPr>
      <w:r>
        <w:t>-</w:t>
      </w:r>
      <w: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pPr>
        <w:keepLines/>
        <w:ind w:left="1702" w:hanging="1418"/>
      </w:pPr>
      <w:r>
        <w:t>[1]</w:t>
      </w:r>
      <w:r>
        <w:tab/>
      </w:r>
      <w:r>
        <w:t>3GPP TR 21.905: "Vocabulary for 3GPP Specifications".</w:t>
      </w:r>
    </w:p>
    <w:p>
      <w:pPr>
        <w:keepLines/>
        <w:ind w:left="1702" w:hanging="1418"/>
      </w:pPr>
      <w:r>
        <w:t>[2]</w:t>
      </w:r>
      <w:r>
        <w:tab/>
      </w:r>
      <w:r>
        <w:t xml:space="preserve">RP-230279, </w:t>
      </w:r>
      <w:r>
        <w:rPr>
          <w:rFonts w:hint="eastAsia"/>
        </w:rPr>
        <w:t>Air-to-ground network for NR</w:t>
      </w:r>
      <w:r>
        <w:t>, CMCC</w:t>
      </w:r>
    </w:p>
    <w:p>
      <w:pPr>
        <w:keepLines/>
        <w:spacing w:after="0"/>
        <w:ind w:left="1702" w:hanging="1418"/>
      </w:pPr>
      <w:r>
        <w:t>[3]</w:t>
      </w:r>
      <w:r>
        <w:tab/>
      </w:r>
      <w:r>
        <w:tab/>
      </w:r>
      <w:r>
        <w:t>ERC Recommendation 74-01: "Unwanted emissions in the spurious domain".</w:t>
      </w:r>
    </w:p>
    <w:p>
      <w:pPr>
        <w:keepLines/>
        <w:spacing w:after="0"/>
        <w:ind w:left="1702" w:hanging="1418"/>
      </w:pPr>
      <w:r>
        <w:t>[4]</w:t>
      </w:r>
      <w:r>
        <w:tab/>
      </w:r>
      <w:r>
        <w:t>3GPP TS 38.101-1: “NR; User Equipment (UE) radio transmission and reception; Part 1: Range 1 Standalone”.</w:t>
      </w:r>
    </w:p>
    <w:p>
      <w:pPr>
        <w:keepLines/>
        <w:spacing w:after="0"/>
        <w:ind w:left="1702" w:hanging="1418"/>
      </w:pPr>
      <w:r>
        <w:t>[5]</w:t>
      </w:r>
      <w:r>
        <w:tab/>
      </w:r>
      <w:r>
        <w:t>3GPP TS 38.104: “NR; Base Station (BS) radio transmission and reception”.</w:t>
      </w:r>
    </w:p>
    <w:p>
      <w:pPr>
        <w:pStyle w:val="70"/>
        <w:rPr>
          <w:rFonts w:eastAsia="等线"/>
          <w:sz w:val="21"/>
        </w:rPr>
      </w:pPr>
      <w:r>
        <w:rPr>
          <w:lang w:eastAsia="en-US"/>
        </w:rPr>
        <w:t>[</w:t>
      </w:r>
      <w:r>
        <w:rPr>
          <w:rFonts w:hint="eastAsia" w:eastAsia="SimSun"/>
          <w:lang w:val="en-US" w:eastAsia="zh-CN"/>
        </w:rPr>
        <w:t>6</w:t>
      </w:r>
      <w:r>
        <w:rPr>
          <w:lang w:eastAsia="en-US"/>
        </w:rPr>
        <w:t>]</w:t>
      </w:r>
      <w:r>
        <w:rPr>
          <w:lang w:eastAsia="en-US"/>
        </w:rPr>
        <w:tab/>
      </w:r>
      <w:r>
        <w:rPr>
          <w:lang w:eastAsia="en-US"/>
        </w:rPr>
        <w:t xml:space="preserve">R4-2308745, </w:t>
      </w:r>
      <w:r>
        <w:rPr>
          <w:rFonts w:eastAsia="等线"/>
          <w:sz w:val="21"/>
        </w:rPr>
        <w:t>Discussion on ATG UE RF Tx requirements, Ericsson</w:t>
      </w:r>
    </w:p>
    <w:p>
      <w:pPr>
        <w:pStyle w:val="70"/>
        <w:rPr>
          <w:rFonts w:eastAsia="等线"/>
          <w:sz w:val="21"/>
          <w:lang w:val="en-US" w:eastAsia="zh-CN"/>
        </w:rPr>
      </w:pPr>
      <w:r>
        <w:rPr>
          <w:rFonts w:hint="eastAsia" w:eastAsia="等线"/>
          <w:sz w:val="21"/>
          <w:lang w:val="en-US" w:eastAsia="zh-CN"/>
        </w:rPr>
        <w:t>[7]</w:t>
      </w:r>
      <w:r>
        <w:rPr>
          <w:rFonts w:hint="eastAsia" w:eastAsia="等线"/>
          <w:sz w:val="21"/>
          <w:lang w:val="en-US" w:eastAsia="zh-CN"/>
        </w:rPr>
        <w:tab/>
      </w:r>
      <w:bookmarkStart w:id="24" w:name="specTitle"/>
      <w:r>
        <w:t>3GPP TS 38.101-</w:t>
      </w:r>
      <w:r>
        <w:rPr>
          <w:rFonts w:hint="eastAsia" w:eastAsia="SimSun"/>
          <w:lang w:val="en-US" w:eastAsia="zh-CN"/>
        </w:rPr>
        <w:t>5</w:t>
      </w:r>
      <w:r>
        <w:t xml:space="preserve">: </w:t>
      </w:r>
      <w:r>
        <w:rPr>
          <w:rFonts w:hint="eastAsia" w:eastAsia="SimSun"/>
          <w:lang w:val="en-US" w:eastAsia="zh-CN"/>
        </w:rPr>
        <w:t xml:space="preserve"> </w:t>
      </w:r>
      <w:r>
        <w:rPr>
          <w:rFonts w:eastAsia="SimSun"/>
          <w:lang w:val="en-US" w:eastAsia="zh-CN"/>
        </w:rPr>
        <w:t>“</w:t>
      </w:r>
      <w:r>
        <w:rPr>
          <w:rFonts w:hint="eastAsia" w:eastAsia="等线"/>
          <w:sz w:val="21"/>
          <w:lang w:val="en-US" w:eastAsia="zh-CN"/>
        </w:rPr>
        <w:t>NR; User Equipment (UE) radio transmission and reception; Part 5: Satellite access Radio Frequency (RF) and performance requirements</w:t>
      </w:r>
      <w:r>
        <w:rPr>
          <w:rFonts w:eastAsia="等线"/>
          <w:sz w:val="21"/>
          <w:lang w:val="en-US" w:eastAsia="zh-CN"/>
        </w:rPr>
        <w:t>”</w:t>
      </w:r>
      <w:r>
        <w:rPr>
          <w:rFonts w:hint="eastAsia" w:eastAsia="等线"/>
          <w:sz w:val="21"/>
          <w:lang w:val="en-US" w:eastAsia="zh-CN"/>
        </w:rPr>
        <w:t xml:space="preserve">. </w:t>
      </w:r>
      <w:bookmarkEnd w:id="24"/>
    </w:p>
    <w:p>
      <w:pPr>
        <w:pStyle w:val="70"/>
        <w:rPr>
          <w:rFonts w:eastAsia="等线"/>
          <w:sz w:val="21"/>
          <w:lang w:val="en-US" w:eastAsia="zh-CN"/>
        </w:rPr>
      </w:pPr>
      <w:r>
        <w:rPr>
          <w:rFonts w:hint="eastAsia" w:eastAsia="等线"/>
          <w:sz w:val="21"/>
          <w:lang w:val="en-US" w:eastAsia="zh-CN"/>
        </w:rPr>
        <w:t>[</w:t>
      </w:r>
      <w:r>
        <w:rPr>
          <w:rFonts w:eastAsia="等线"/>
          <w:sz w:val="21"/>
          <w:lang w:val="en-US" w:eastAsia="zh-CN"/>
        </w:rPr>
        <w:t>8</w:t>
      </w:r>
      <w:r>
        <w:rPr>
          <w:rFonts w:hint="eastAsia" w:eastAsia="等线"/>
          <w:sz w:val="21"/>
          <w:lang w:val="en-US" w:eastAsia="zh-CN"/>
        </w:rPr>
        <w:t>]</w:t>
      </w:r>
      <w:r>
        <w:rPr>
          <w:rFonts w:hint="eastAsia" w:eastAsia="等线"/>
          <w:sz w:val="21"/>
          <w:lang w:val="en-US" w:eastAsia="zh-CN"/>
        </w:rPr>
        <w:tab/>
      </w:r>
      <w:r>
        <w:rPr>
          <w:rFonts w:eastAsia="等线"/>
          <w:sz w:val="21"/>
          <w:lang w:val="en-US" w:eastAsia="zh-CN"/>
        </w:rPr>
        <w:t xml:space="preserve">ITU-R M.2059-0: </w:t>
      </w:r>
      <w:r>
        <w:rPr>
          <w:rFonts w:hint="eastAsia" w:eastAsia="等线"/>
          <w:sz w:val="21"/>
          <w:lang w:val="en-US" w:eastAsia="zh-CN"/>
        </w:rPr>
        <w:t xml:space="preserve"> </w:t>
      </w:r>
      <w:r>
        <w:rPr>
          <w:rFonts w:eastAsia="等线"/>
          <w:sz w:val="21"/>
          <w:lang w:val="en-US" w:eastAsia="zh-CN"/>
        </w:rPr>
        <w:t>“Operational and technical characteristics and protection criteria of radio altimeters utilizing the band 4 200-4 400 MHz”</w:t>
      </w:r>
      <w:r>
        <w:rPr>
          <w:rFonts w:hint="eastAsia" w:eastAsia="等线"/>
          <w:sz w:val="21"/>
          <w:lang w:val="en-US" w:eastAsia="zh-CN"/>
        </w:rPr>
        <w:t>.</w:t>
      </w:r>
    </w:p>
    <w:p>
      <w:pPr>
        <w:pStyle w:val="70"/>
        <w:rPr>
          <w:rFonts w:eastAsia="等线"/>
          <w:sz w:val="21"/>
          <w:lang w:val="en-US" w:eastAsia="zh-CN"/>
        </w:rPr>
      </w:pPr>
    </w:p>
    <w:p>
      <w:pPr>
        <w:keepLines/>
        <w:ind w:left="1702" w:hanging="1418"/>
      </w:pPr>
    </w:p>
    <w:p>
      <w:pPr>
        <w:keepLines/>
        <w:ind w:left="1702" w:hanging="1418"/>
      </w:pPr>
      <w:r>
        <w:t>…</w:t>
      </w:r>
    </w:p>
    <w:p>
      <w:pPr>
        <w:keepLines/>
        <w:ind w:left="1702" w:hanging="1418"/>
      </w:pPr>
      <w:r>
        <w:t>[x]</w:t>
      </w:r>
      <w:r>
        <w:tab/>
      </w:r>
      <w:r>
        <w:t>&lt;doctype&gt; &lt;#&gt;[ ([up to and including]{yyyy[-mm]|V&lt;a[.b[.c]]&gt;}[onwards])]: "&lt;Title&gt;".</w:t>
      </w:r>
    </w:p>
    <w:p>
      <w:pPr>
        <w:keepLines/>
        <w:ind w:left="1702" w:hanging="1418"/>
        <w:rPr>
          <w:lang w:eastAsia="zh-CN"/>
        </w:rPr>
      </w:pPr>
    </w:p>
    <w:p>
      <w:pPr>
        <w:pStyle w:val="2"/>
        <w:rPr>
          <w:lang w:eastAsia="zh-CN"/>
        </w:rPr>
      </w:pPr>
      <w:bookmarkStart w:id="25" w:name="_Toc18880"/>
      <w:bookmarkStart w:id="26" w:name="_Toc166"/>
      <w:bookmarkStart w:id="27" w:name="_Toc133498114"/>
      <w:bookmarkStart w:id="28" w:name="_Toc14938"/>
      <w:bookmarkStart w:id="29" w:name="_Toc2409"/>
      <w:bookmarkStart w:id="30" w:name="_Toc481653278"/>
      <w:bookmarkStart w:id="31" w:name="_Toc4257"/>
      <w:bookmarkStart w:id="32" w:name="_Toc473553999"/>
      <w:r>
        <w:rPr>
          <w:lang w:eastAsia="zh-CN"/>
        </w:rPr>
        <w:t>3</w:t>
      </w:r>
      <w:r>
        <w:rPr>
          <w:lang w:eastAsia="zh-CN"/>
        </w:rPr>
        <w:tab/>
      </w:r>
      <w:r>
        <w:rPr>
          <w:lang w:eastAsia="zh-CN"/>
        </w:rPr>
        <w:t>Definitions, symbols and abbreviations</w:t>
      </w:r>
      <w:bookmarkEnd w:id="25"/>
      <w:bookmarkEnd w:id="26"/>
      <w:bookmarkEnd w:id="27"/>
      <w:bookmarkEnd w:id="28"/>
      <w:bookmarkEnd w:id="29"/>
      <w:bookmarkEnd w:id="30"/>
      <w:bookmarkEnd w:id="31"/>
    </w:p>
    <w:p>
      <w:pPr>
        <w:pStyle w:val="3"/>
      </w:pPr>
      <w:bookmarkStart w:id="33" w:name="_Toc32067"/>
      <w:bookmarkStart w:id="34" w:name="_Toc133498115"/>
      <w:bookmarkStart w:id="35" w:name="_Toc29401"/>
      <w:bookmarkStart w:id="36" w:name="_Toc481653279"/>
      <w:bookmarkStart w:id="37" w:name="_Toc15382"/>
      <w:bookmarkStart w:id="38" w:name="_Toc26389"/>
      <w:bookmarkStart w:id="39" w:name="_Toc1753"/>
      <w:r>
        <w:t>3.1</w:t>
      </w:r>
      <w:r>
        <w:tab/>
      </w:r>
      <w:r>
        <w:t>Definitions</w:t>
      </w:r>
      <w:bookmarkEnd w:id="33"/>
      <w:bookmarkEnd w:id="34"/>
      <w:bookmarkEnd w:id="35"/>
      <w:bookmarkEnd w:id="36"/>
      <w:bookmarkEnd w:id="37"/>
      <w:bookmarkEnd w:id="38"/>
      <w:bookmarkEnd w:id="39"/>
    </w:p>
    <w:p>
      <w:r>
        <w:t xml:space="preserve">For the purposes of the present document, the terms and definitions given in </w:t>
      </w:r>
      <w:bookmarkStart w:id="40" w:name="OLE_LINK8"/>
      <w:bookmarkStart w:id="41" w:name="OLE_LINK6"/>
      <w:bookmarkStart w:id="42" w:name="OLE_LINK7"/>
      <w:r>
        <w:t xml:space="preserve">3GPP </w:t>
      </w:r>
      <w:bookmarkEnd w:id="40"/>
      <w:bookmarkEnd w:id="41"/>
      <w:bookmarkEnd w:id="42"/>
      <w:r>
        <w:t>TR 21.905 [1] and the following apply. A term defined in the present document takes precedence over the definition of the same term, if any, in 3GPP TR 21.905 [1].</w:t>
      </w:r>
    </w:p>
    <w:p>
      <w:pPr>
        <w:rPr>
          <w:b/>
        </w:rPr>
      </w:pPr>
      <w:r>
        <w:rPr>
          <w:b/>
        </w:rPr>
        <w:t xml:space="preserve">ATG UE: </w:t>
      </w:r>
      <w:r>
        <w:rPr>
          <w:b w:val="0"/>
          <w:bCs/>
        </w:rPr>
        <w:t>a UE mounted on an aircraft</w:t>
      </w:r>
    </w:p>
    <w:p>
      <w:r>
        <w:rPr>
          <w:b/>
        </w:rPr>
        <w:t>TAB connector:</w:t>
      </w:r>
      <w:r>
        <w:t xml:space="preserve"> </w:t>
      </w:r>
      <w:r>
        <w:rPr>
          <w:i/>
        </w:rPr>
        <w:t>transceiver array boundary</w:t>
      </w:r>
      <w:r>
        <w:t xml:space="preserve"> connector</w:t>
      </w:r>
    </w:p>
    <w:p>
      <w:pPr>
        <w:rPr>
          <w:rFonts w:eastAsia="SimSun" w:cs="v5.0.0"/>
          <w:bCs/>
        </w:rPr>
      </w:pPr>
      <w:r>
        <w:rPr>
          <w:rFonts w:eastAsia="SimSun" w:cs="v5.0.0"/>
          <w:b/>
          <w:bCs/>
        </w:rPr>
        <w:t>TRP (total radiated power):</w:t>
      </w:r>
      <w:r>
        <w:rPr>
          <w:rFonts w:eastAsia="SimSun" w:cs="v5.0.0"/>
          <w:bCs/>
        </w:rPr>
        <w:t xml:space="preserve"> the total power radiated by the antenna</w:t>
      </w:r>
    </w:p>
    <w:p>
      <w:pPr>
        <w:pStyle w:val="63"/>
        <w:rPr>
          <w:rFonts w:eastAsia="SimSun"/>
        </w:rPr>
      </w:pPr>
      <w:r>
        <w:rPr>
          <w:rFonts w:eastAsia="SimSun"/>
        </w:rPr>
        <w:t>NOTE:</w:t>
      </w:r>
      <w:r>
        <w:rPr>
          <w:rFonts w:eastAsia="SimSun"/>
        </w:rPr>
        <w:tab/>
      </w:r>
      <w:r>
        <w:rPr>
          <w:rFonts w:eastAsia="SimSun"/>
        </w:rPr>
        <w:t xml:space="preserve">The </w:t>
      </w:r>
      <w:r>
        <w:rPr>
          <w:rFonts w:eastAsia="SimSun"/>
          <w:i/>
        </w:rPr>
        <w:t>total radiated power</w:t>
      </w:r>
      <w:r>
        <w:rPr>
          <w:rFonts w:eastAsia="SimSun"/>
        </w:rPr>
        <w:t xml:space="preserve"> is the power radiating in all direction for two orthogonal polarizations. </w:t>
      </w:r>
    </w:p>
    <w:p>
      <w:r>
        <w:rPr>
          <w:b/>
        </w:rPr>
        <w:t>RX beam peak direction</w:t>
      </w:r>
      <w:r>
        <w:t>: direction where the maximum total component of RSRP and thus best total component of EIS is found</w:t>
      </w:r>
    </w:p>
    <w:p>
      <w:r>
        <w:rPr>
          <w:b/>
        </w:rPr>
        <w:t>TX beam peak direction:</w:t>
      </w:r>
      <w:r>
        <w:t xml:space="preserve"> direction where the maximum total component of EIRP is found</w:t>
      </w:r>
    </w:p>
    <w:p>
      <w:pPr>
        <w:pStyle w:val="3"/>
      </w:pPr>
      <w:bookmarkStart w:id="43" w:name="_Toc12335"/>
      <w:bookmarkStart w:id="44" w:name="_Toc133498116"/>
      <w:bookmarkStart w:id="45" w:name="_Toc743"/>
      <w:bookmarkStart w:id="46" w:name="_Toc12362"/>
      <w:bookmarkStart w:id="47" w:name="_Toc19872"/>
      <w:bookmarkStart w:id="48" w:name="_Toc22639"/>
      <w:bookmarkStart w:id="49" w:name="_Toc481653280"/>
      <w:r>
        <w:t>3.2</w:t>
      </w:r>
      <w:r>
        <w:tab/>
      </w:r>
      <w:r>
        <w:t>Symbols</w:t>
      </w:r>
      <w:bookmarkEnd w:id="43"/>
      <w:bookmarkEnd w:id="44"/>
      <w:bookmarkEnd w:id="45"/>
      <w:bookmarkEnd w:id="46"/>
      <w:bookmarkEnd w:id="47"/>
      <w:bookmarkEnd w:id="48"/>
      <w:bookmarkEnd w:id="49"/>
    </w:p>
    <w:p>
      <w:pPr>
        <w:keepNext/>
      </w:pPr>
      <w:r>
        <w:t>For the purposes of the present document, the following symbols apply:</w:t>
      </w:r>
    </w:p>
    <w:p>
      <w:pPr>
        <w:rPr>
          <w:rFonts w:eastAsia="MS Mincho"/>
          <w:i/>
        </w:rPr>
      </w:pPr>
      <w:r>
        <w:rPr>
          <w:rFonts w:eastAsia="MS Mincho"/>
          <w:i/>
        </w:rPr>
        <w:t>Symbol format (EW)</w:t>
      </w:r>
    </w:p>
    <w:p>
      <w:pPr>
        <w:keepLines/>
        <w:spacing w:after="0"/>
        <w:ind w:left="1702" w:hanging="1418"/>
      </w:pPr>
      <w:r>
        <w:t>&lt;symbol&gt;</w:t>
      </w:r>
      <w:r>
        <w:tab/>
      </w:r>
      <w:r>
        <w:t>&lt;Explanation&gt;</w:t>
      </w:r>
    </w:p>
    <w:p>
      <w:pPr>
        <w:keepLines/>
        <w:spacing w:after="0"/>
        <w:ind w:left="1702" w:hanging="1418"/>
      </w:pPr>
    </w:p>
    <w:p>
      <w:pPr>
        <w:pStyle w:val="3"/>
      </w:pPr>
      <w:bookmarkStart w:id="50" w:name="_Toc30198"/>
      <w:bookmarkStart w:id="51" w:name="_Toc1993"/>
      <w:bookmarkStart w:id="52" w:name="_Toc21618"/>
      <w:bookmarkStart w:id="53" w:name="_Toc133498117"/>
      <w:bookmarkStart w:id="54" w:name="_Toc11280"/>
      <w:bookmarkStart w:id="55" w:name="_Toc481653281"/>
      <w:bookmarkStart w:id="56" w:name="_Toc27528"/>
      <w:r>
        <w:t>3.3</w:t>
      </w:r>
      <w:r>
        <w:tab/>
      </w:r>
      <w:r>
        <w:t>Abbreviations</w:t>
      </w:r>
      <w:bookmarkEnd w:id="50"/>
      <w:bookmarkEnd w:id="51"/>
      <w:bookmarkEnd w:id="52"/>
      <w:bookmarkEnd w:id="53"/>
      <w:bookmarkEnd w:id="54"/>
      <w:bookmarkEnd w:id="55"/>
      <w:bookmarkEnd w:id="5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73"/>
      </w:pPr>
      <w:r>
        <w:rPr>
          <w:lang w:eastAsia="zh-CN"/>
        </w:rPr>
        <w:t>AA</w:t>
      </w:r>
      <w:r>
        <w:rPr>
          <w:lang w:eastAsia="zh-CN"/>
        </w:rPr>
        <w:tab/>
      </w:r>
      <w:r>
        <w:rPr>
          <w:lang w:eastAsia="zh-CN"/>
        </w:rPr>
        <w:t>Antenna Array</w:t>
      </w:r>
    </w:p>
    <w:p>
      <w:pPr>
        <w:pStyle w:val="73"/>
      </w:pPr>
      <w:r>
        <w:t>ATG</w:t>
      </w:r>
      <w:r>
        <w:tab/>
      </w:r>
      <w:r>
        <w:t>Air To Ground</w:t>
      </w:r>
    </w:p>
    <w:p>
      <w:pPr>
        <w:pStyle w:val="73"/>
      </w:pPr>
      <w:r>
        <w:t>EIRP</w:t>
      </w:r>
      <w:r>
        <w:tab/>
      </w:r>
      <w:r>
        <w:t>Effective Isotropic Radiated Power</w:t>
      </w:r>
    </w:p>
    <w:p>
      <w:pPr>
        <w:pStyle w:val="73"/>
      </w:pPr>
      <w:r>
        <w:t>RDN</w:t>
      </w:r>
      <w:r>
        <w:tab/>
      </w:r>
      <w:r>
        <w:t>Radio Distribution Network</w:t>
      </w:r>
    </w:p>
    <w:p>
      <w:pPr>
        <w:pStyle w:val="73"/>
      </w:pPr>
      <w:r>
        <w:t>TAB</w:t>
      </w:r>
      <w:r>
        <w:tab/>
      </w:r>
      <w:r>
        <w:t>Transceiver Array Boundary</w:t>
      </w:r>
    </w:p>
    <w:p>
      <w:pPr>
        <w:pStyle w:val="73"/>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pPr>
        <w:pStyle w:val="73"/>
      </w:pPr>
      <w:r>
        <w:t>TRP</w:t>
      </w:r>
      <w:r>
        <w:tab/>
      </w:r>
      <w:r>
        <w:t>Total Radiated Power</w:t>
      </w:r>
    </w:p>
    <w:p>
      <w:pPr>
        <w:pStyle w:val="2"/>
        <w:rPr>
          <w:lang w:eastAsia="zh-CN"/>
        </w:rPr>
      </w:pPr>
      <w:bookmarkStart w:id="57" w:name="_Toc29941"/>
      <w:bookmarkStart w:id="58" w:name="_Toc3043"/>
      <w:bookmarkStart w:id="59" w:name="_Toc31267"/>
      <w:bookmarkStart w:id="60" w:name="_Toc133498118"/>
      <w:bookmarkStart w:id="61" w:name="_Toc22177"/>
      <w:bookmarkStart w:id="62" w:name="_Toc13765"/>
      <w:r>
        <w:rPr>
          <w:lang w:eastAsia="zh-CN"/>
        </w:rPr>
        <w:t>4</w:t>
      </w:r>
      <w:r>
        <w:rPr>
          <w:lang w:eastAsia="zh-CN"/>
        </w:rPr>
        <w:tab/>
      </w:r>
      <w:r>
        <w:rPr>
          <w:lang w:eastAsia="zh-CN"/>
        </w:rPr>
        <w:t>Background</w:t>
      </w:r>
      <w:bookmarkEnd w:id="32"/>
      <w:bookmarkEnd w:id="57"/>
      <w:bookmarkEnd w:id="58"/>
      <w:bookmarkEnd w:id="59"/>
      <w:bookmarkEnd w:id="60"/>
      <w:bookmarkEnd w:id="61"/>
      <w:bookmarkEnd w:id="62"/>
    </w:p>
    <w:p>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pPr>
        <w:widowControl w:val="0"/>
        <w:spacing w:after="0"/>
        <w:rPr>
          <w:kern w:val="2"/>
          <w:lang w:val="en-US" w:eastAsia="zh-CN"/>
        </w:rPr>
      </w:pPr>
    </w:p>
    <w:p>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pPr>
        <w:pStyle w:val="74"/>
      </w:pPr>
      <w:r>
        <w:rPr>
          <w:b/>
          <w:bCs/>
        </w:rPr>
        <w:t>-</w:t>
      </w:r>
      <w:r>
        <w:rPr>
          <w:b/>
          <w:bCs/>
        </w:rPr>
        <w:tab/>
      </w:r>
      <w:r>
        <w:rPr>
          <w:b/>
          <w:bCs/>
        </w:rPr>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pPr>
        <w:pStyle w:val="74"/>
      </w:pPr>
      <w:r>
        <w:rPr>
          <w:b/>
          <w:bCs/>
        </w:rPr>
        <w:t>-</w:t>
      </w:r>
      <w:r>
        <w:rPr>
          <w:b/>
          <w:bCs/>
        </w:rPr>
        <w:tab/>
      </w:r>
      <w:r>
        <w:rPr>
          <w:b/>
          <w:bCs/>
        </w:rPr>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pPr>
        <w:pStyle w:val="74"/>
      </w:pPr>
      <w:r>
        <w:rPr>
          <w:b/>
          <w:bCs/>
        </w:rPr>
        <w:t>-</w:t>
      </w:r>
      <w:r>
        <w:rPr>
          <w:b/>
          <w:bCs/>
        </w:rPr>
        <w:tab/>
      </w:r>
      <w:r>
        <w:rPr>
          <w:b/>
          <w:bCs/>
        </w:rPr>
        <w:t>Much powerful on-board ATG terminal capacity:</w:t>
      </w:r>
      <w:r>
        <w:t xml:space="preserve"> On-board ATG terminal can be much powerful than normal terrestrial UE, e.g., with higher EIRP via much larger transmission power and/or much larger on-board antenna gain.</w:t>
      </w:r>
    </w:p>
    <w:p>
      <w:pPr>
        <w:pStyle w:val="2"/>
        <w:rPr>
          <w:lang w:eastAsia="zh-CN"/>
        </w:rPr>
      </w:pPr>
      <w:bookmarkStart w:id="63" w:name="_Toc473554000"/>
      <w:bookmarkStart w:id="64" w:name="_Toc133498119"/>
      <w:bookmarkStart w:id="65" w:name="_Toc32231"/>
      <w:bookmarkStart w:id="66" w:name="_Toc15141"/>
      <w:bookmarkStart w:id="67" w:name="_Toc24085"/>
      <w:bookmarkStart w:id="68" w:name="_Toc10537"/>
      <w:bookmarkStart w:id="69" w:name="_Toc5643"/>
      <w:r>
        <w:rPr>
          <w:lang w:eastAsia="zh-CN"/>
        </w:rPr>
        <w:t>5</w:t>
      </w:r>
      <w:r>
        <w:rPr>
          <w:lang w:eastAsia="zh-CN"/>
        </w:rPr>
        <w:tab/>
      </w:r>
      <w:bookmarkEnd w:id="63"/>
      <w:r>
        <w:rPr>
          <w:rFonts w:hint="eastAsia"/>
          <w:lang w:eastAsia="zh-CN"/>
        </w:rPr>
        <w:t xml:space="preserve">ATG </w:t>
      </w:r>
      <w:r>
        <w:rPr>
          <w:lang w:eastAsia="zh-CN"/>
        </w:rPr>
        <w:t>band</w:t>
      </w:r>
      <w:r>
        <w:rPr>
          <w:rFonts w:hint="eastAsia"/>
          <w:lang w:eastAsia="zh-CN"/>
        </w:rPr>
        <w:t>s</w:t>
      </w:r>
      <w:bookmarkEnd w:id="64"/>
      <w:bookmarkEnd w:id="65"/>
      <w:bookmarkEnd w:id="66"/>
      <w:bookmarkEnd w:id="67"/>
      <w:bookmarkEnd w:id="68"/>
      <w:bookmarkEnd w:id="69"/>
    </w:p>
    <w:p>
      <w:pPr>
        <w:pStyle w:val="100"/>
        <w:rPr>
          <w:rFonts w:eastAsia="MS Mincho"/>
          <w:iCs/>
          <w:kern w:val="2"/>
          <w:lang w:val="en-US" w:eastAsia="zh-CN"/>
        </w:rPr>
      </w:pPr>
      <w:r>
        <w:rPr>
          <w:i w:val="0"/>
          <w:iCs/>
          <w:color w:val="000000" w:themeColor="text1"/>
          <w:kern w:val="2"/>
          <w:lang w:val="en-US" w:eastAsia="zh-CN"/>
          <w14:textFill>
            <w14:solidFill>
              <w14:schemeClr w14:val="tx1"/>
            </w14:solidFill>
          </w14:textFill>
        </w:rPr>
        <w:t>ATG will operate within existing NR operating bands and does not need new bands. Depending on the operator’s request so far, the following NR bands are intended for ATG deployment in Rel-18. Other new band request for ATG deployment is not precluded in future.</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Style w:val="49"/>
        <w:tblW w:w="7737" w:type="dxa"/>
        <w:jc w:val="center"/>
        <w:tblLayout w:type="fixed"/>
        <w:tblCellMar>
          <w:top w:w="0" w:type="dxa"/>
          <w:left w:w="108" w:type="dxa"/>
          <w:bottom w:w="0" w:type="dxa"/>
          <w:right w:w="108" w:type="dxa"/>
        </w:tblCellMar>
      </w:tblPr>
      <w:tblGrid>
        <w:gridCol w:w="1161"/>
        <w:gridCol w:w="2715"/>
        <w:gridCol w:w="2953"/>
        <w:gridCol w:w="908"/>
      </w:tblGrid>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NR operating band</w:t>
            </w:r>
          </w:p>
        </w:tc>
        <w:tc>
          <w:tcPr>
            <w:tcW w:w="2715"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ype="textWrapping"/>
            </w:r>
            <w:r>
              <w:rPr>
                <w:rFonts w:eastAsia="MS Mincho"/>
                <w:b/>
                <w:sz w:val="18"/>
              </w:rPr>
              <w:t>BS receive / UE transmit</w:t>
            </w:r>
          </w:p>
          <w:p>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ype="textWrapping"/>
            </w:r>
            <w:r>
              <w:rPr>
                <w:rFonts w:eastAsia="MS Mincho"/>
                <w:b/>
                <w:sz w:val="18"/>
              </w:rPr>
              <w:t>BS transmit / UE receive</w:t>
            </w:r>
          </w:p>
          <w:p>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Duplex Mode</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1920 MHz – 1980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2110 MHz – 2170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1710 MHz – 1785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1805 MHz – 1880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n34</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n41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n78</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bl>
    <w:p>
      <w:pPr>
        <w:pStyle w:val="2"/>
        <w:rPr>
          <w:lang w:eastAsia="zh-CN"/>
        </w:rPr>
      </w:pPr>
      <w:bookmarkStart w:id="70" w:name="_Toc17486"/>
      <w:bookmarkStart w:id="71" w:name="_Toc4753"/>
      <w:bookmarkStart w:id="72" w:name="_Toc3023"/>
      <w:bookmarkStart w:id="73" w:name="_Toc20209"/>
      <w:bookmarkStart w:id="74" w:name="_Toc133498120"/>
      <w:bookmarkStart w:id="75" w:name="_Toc19932"/>
      <w:r>
        <w:rPr>
          <w:rFonts w:hint="eastAsia"/>
          <w:lang w:eastAsia="zh-CN"/>
        </w:rPr>
        <w:t>6</w:t>
      </w:r>
      <w:r>
        <w:tab/>
      </w:r>
      <w:r>
        <w:rPr>
          <w:rFonts w:hint="eastAsia"/>
          <w:lang w:eastAsia="zh-CN"/>
        </w:rPr>
        <w:t>Co-existence study</w:t>
      </w:r>
      <w:bookmarkEnd w:id="70"/>
      <w:bookmarkEnd w:id="71"/>
      <w:bookmarkEnd w:id="72"/>
      <w:bookmarkEnd w:id="73"/>
      <w:bookmarkEnd w:id="74"/>
      <w:bookmarkEnd w:id="75"/>
    </w:p>
    <w:p>
      <w:pPr>
        <w:pStyle w:val="3"/>
        <w:keepNext/>
        <w:keepLines/>
        <w:overflowPunct/>
        <w:autoSpaceDE/>
        <w:autoSpaceDN/>
        <w:adjustRightInd/>
        <w:spacing w:before="180"/>
        <w:ind w:left="1134"/>
        <w:textAlignment w:val="auto"/>
        <w:outlineLvl w:val="1"/>
        <w:rPr>
          <w:lang w:eastAsia="en-US"/>
        </w:rPr>
      </w:pPr>
      <w:bookmarkStart w:id="76" w:name="_Toc26838"/>
      <w:bookmarkStart w:id="77" w:name="_Toc30435"/>
      <w:bookmarkStart w:id="78" w:name="_Toc7077"/>
      <w:bookmarkStart w:id="79" w:name="_Toc20167"/>
      <w:r>
        <w:rPr>
          <w:rFonts w:hint="eastAsia"/>
          <w:lang w:eastAsia="en-US"/>
        </w:rPr>
        <w:t xml:space="preserve">6.1 </w:t>
      </w:r>
      <w:r>
        <w:rPr>
          <w:lang w:eastAsia="en-US"/>
        </w:rPr>
        <w:t>Co-existence simulation scenario</w:t>
      </w:r>
      <w:bookmarkEnd w:id="76"/>
      <w:bookmarkEnd w:id="77"/>
      <w:bookmarkEnd w:id="78"/>
      <w:bookmarkEnd w:id="79"/>
    </w:p>
    <w:p>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1449"/>
        <w:gridCol w:w="1348"/>
        <w:gridCol w:w="1108"/>
        <w:gridCol w:w="1348"/>
        <w:gridCol w:w="1108"/>
        <w:gridCol w:w="1252"/>
        <w:gridCol w:w="848"/>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zh-CN"/>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5</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6</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7</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8</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9</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10</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11</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12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13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sz w:val="18"/>
                <w:lang w:eastAsia="zh-CN"/>
              </w:rPr>
            </w:pPr>
            <w:r>
              <w:rPr>
                <w:rFonts w:ascii="Arial" w:hAnsi="Arial" w:eastAsia="SimSun"/>
                <w:sz w:val="18"/>
                <w:lang w:eastAsia="zh-CN"/>
              </w:rPr>
              <w:t>14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SimSun"/>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SimSun"/>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sz w:val="18"/>
                <w:lang w:eastAsia="en-US"/>
              </w:rPr>
              <w:t>20MHz 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SimSun"/>
                <w:kern w:val="2"/>
                <w:sz w:val="18"/>
                <w:szCs w:val="24"/>
                <w:lang w:eastAsia="zh-CN"/>
              </w:rPr>
            </w:pPr>
            <w:r>
              <w:rPr>
                <w:rFonts w:ascii="Arial" w:hAnsi="Arial" w:eastAsia="SimSun"/>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SimSun"/>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SimSun"/>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9"/>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ind w:left="720" w:hanging="720" w:hangingChars="400"/>
              <w:jc w:val="both"/>
              <w:textAlignment w:val="auto"/>
              <w:rPr>
                <w:rFonts w:ascii="Arial" w:hAnsi="Arial" w:eastAsia="SimSun"/>
                <w:sz w:val="18"/>
                <w:lang w:val="en-US" w:eastAsia="zh-CN"/>
              </w:rPr>
            </w:pPr>
            <w:r>
              <w:rPr>
                <w:rFonts w:hint="eastAsia" w:ascii="Arial" w:hAnsi="Arial" w:eastAsia="SimSun"/>
                <w:sz w:val="18"/>
                <w:lang w:val="en-US" w:eastAsia="zh-CN"/>
              </w:rPr>
              <w:t>NOTE 1: ACLR/ACS requirement for ATG BS and ATG UE are derived based on the synchronized scenario in Phase 1.</w:t>
            </w:r>
          </w:p>
          <w:p>
            <w:pPr>
              <w:keepNext/>
              <w:keepLines/>
              <w:overflowPunct/>
              <w:autoSpaceDE/>
              <w:autoSpaceDN/>
              <w:adjustRightInd/>
              <w:spacing w:after="0"/>
              <w:ind w:left="720" w:hanging="720" w:hangingChars="400"/>
              <w:jc w:val="both"/>
              <w:textAlignment w:val="auto"/>
              <w:rPr>
                <w:rFonts w:ascii="Arial" w:hAnsi="Arial" w:eastAsia="SimSun"/>
                <w:sz w:val="18"/>
                <w:lang w:val="en-US" w:eastAsia="zh-CN" w:bidi="ar"/>
              </w:rPr>
            </w:pPr>
            <w:r>
              <w:rPr>
                <w:rFonts w:hint="eastAsia" w:ascii="Arial" w:hAnsi="Arial" w:eastAsia="SimSun"/>
                <w:sz w:val="18"/>
                <w:lang w:val="en-US" w:eastAsia="zh-CN"/>
              </w:rPr>
              <w:t>NOTE 2: the non-synchronized coexistence scenarios listed in phase 2 are mainly used to identify the isolation distance between ATG BS and the the legacy TN BSs. And it</w:t>
            </w:r>
            <w:r>
              <w:rPr>
                <w:rFonts w:ascii="Arial" w:hAnsi="Arial" w:eastAsia="SimSun"/>
                <w:sz w:val="18"/>
                <w:lang w:val="en-US" w:eastAsia="zh-CN"/>
              </w:rPr>
              <w:t>’</w:t>
            </w:r>
            <w:r>
              <w:rPr>
                <w:rFonts w:hint="eastAsia" w:ascii="Arial" w:hAnsi="Arial" w:eastAsia="SimSun"/>
                <w:sz w:val="18"/>
                <w:lang w:val="en-US" w:eastAsia="zh-CN"/>
              </w:rPr>
              <w:t>s agreed to reuse</w:t>
            </w:r>
            <w:r>
              <w:rPr>
                <w:rFonts w:hint="eastAsia" w:ascii="Arial" w:hAnsi="Arial" w:eastAsia="SimSun"/>
                <w:sz w:val="18"/>
                <w:lang w:val="en-US" w:eastAsia="zh-CN" w:bidi="ar"/>
              </w:rPr>
              <w:t xml:space="preserve"> 45dB ACLR and 46dB ACS for both TN and ATG BS for non-synchronized scenarios to derive isolated distance.</w:t>
            </w:r>
          </w:p>
          <w:p>
            <w:pPr>
              <w:keepNext/>
              <w:keepLines/>
              <w:overflowPunct/>
              <w:autoSpaceDE/>
              <w:autoSpaceDN/>
              <w:adjustRightInd/>
              <w:spacing w:after="0"/>
              <w:ind w:left="720" w:hanging="720" w:hangingChars="400"/>
              <w:jc w:val="both"/>
              <w:textAlignment w:val="auto"/>
              <w:rPr>
                <w:rFonts w:ascii="Arial" w:hAnsi="Arial" w:eastAsia="SimSun"/>
                <w:sz w:val="18"/>
                <w:lang w:val="en-US" w:eastAsia="zh-CN" w:bidi="ar"/>
              </w:rPr>
            </w:pPr>
            <w:r>
              <w:rPr>
                <w:rFonts w:hint="eastAsia" w:ascii="Arial" w:hAnsi="Arial" w:eastAsia="SimSun"/>
                <w:sz w:val="18"/>
                <w:lang w:val="en-US" w:eastAsia="zh-CN"/>
              </w:rPr>
              <w:t xml:space="preserve">NOTE 3: </w:t>
            </w:r>
            <w:r>
              <w:rPr>
                <w:rFonts w:hint="eastAsia" w:ascii="Arial" w:hAnsi="Arial" w:eastAsia="SimSun"/>
                <w:sz w:val="18"/>
                <w:lang w:val="en-US" w:eastAsia="zh-CN" w:bidi="ar"/>
              </w:rPr>
              <w:t>For scenario 11, if simulator doesn</w:t>
            </w:r>
            <w:r>
              <w:rPr>
                <w:rFonts w:ascii="Arial" w:hAnsi="Arial" w:eastAsia="SimSun"/>
                <w:sz w:val="18"/>
                <w:lang w:val="en-US" w:eastAsia="zh-CN" w:bidi="ar"/>
              </w:rPr>
              <w:t>’</w:t>
            </w:r>
            <w:r>
              <w:rPr>
                <w:rFonts w:hint="eastAsia" w:ascii="Arial" w:hAnsi="Arial" w:eastAsia="SimSun"/>
                <w:sz w:val="18"/>
                <w:lang w:val="en-US" w:eastAsia="zh-CN" w:bidi="ar"/>
              </w:rPr>
              <w:t>t support additional ring of TN network, i.e. additional 18 site and 54 cells, it</w:t>
            </w:r>
            <w:r>
              <w:rPr>
                <w:rFonts w:ascii="Arial" w:hAnsi="Arial" w:eastAsia="SimSun"/>
                <w:sz w:val="18"/>
                <w:lang w:val="en-US" w:eastAsia="zh-CN" w:bidi="ar"/>
              </w:rPr>
              <w:t>’</w:t>
            </w:r>
            <w:r>
              <w:rPr>
                <w:rFonts w:hint="eastAsia" w:ascii="Arial" w:hAnsi="Arial" w:eastAsia="SimSun"/>
                <w:sz w:val="18"/>
                <w:lang w:val="en-US" w:eastAsia="zh-CN" w:bidi="ar"/>
              </w:rPr>
              <w:t>s allowed to double the aggregate interference power from the 57 TN cells to simplify the platform modification, i.e. interference +3dB.</w:t>
            </w:r>
          </w:p>
          <w:p>
            <w:pPr>
              <w:keepNext/>
              <w:keepLines/>
              <w:overflowPunct/>
              <w:autoSpaceDE/>
              <w:autoSpaceDN/>
              <w:adjustRightInd/>
              <w:spacing w:after="0"/>
              <w:ind w:left="720" w:hanging="720" w:hangingChars="400"/>
              <w:jc w:val="both"/>
              <w:textAlignment w:val="auto"/>
              <w:rPr>
                <w:rFonts w:ascii="Arial" w:hAnsi="Arial" w:eastAsia="SimSun"/>
                <w:sz w:val="18"/>
                <w:lang w:val="en-US" w:eastAsia="zh-CN" w:bidi="ar"/>
              </w:rPr>
            </w:pPr>
            <w:r>
              <w:rPr>
                <w:rFonts w:ascii="Arial" w:hAnsi="Arial" w:eastAsia="SimSun"/>
                <w:sz w:val="18"/>
                <w:lang w:val="en-US" w:eastAsia="zh-CN"/>
              </w:rPr>
              <w:t xml:space="preserve">NOTE 4: </w:t>
            </w:r>
            <w:r>
              <w:rPr>
                <w:rFonts w:ascii="Arial" w:hAnsi="Arial" w:eastAsia="SimSun"/>
                <w:sz w:val="18"/>
                <w:lang w:val="en-US" w:eastAsia="zh-CN" w:bidi="ar"/>
              </w:rPr>
              <w:t xml:space="preserve">For scenario 6, 8 and 13 which is CLI between ATG UE and TN UE,  it’s not expected to have further coexistence </w:t>
            </w:r>
            <w:r>
              <w:rPr>
                <w:rFonts w:hint="eastAsia" w:ascii="Arial" w:hAnsi="Arial" w:eastAsia="SimSun"/>
                <w:sz w:val="18"/>
                <w:lang w:val="en-US" w:eastAsia="zh-CN" w:bidi="ar"/>
              </w:rPr>
              <w:t>simulation evaluation</w:t>
            </w:r>
            <w:r>
              <w:rPr>
                <w:rFonts w:ascii="Arial" w:hAnsi="Arial" w:eastAsia="SimSun"/>
                <w:sz w:val="18"/>
                <w:lang w:val="en-US" w:eastAsia="zh-CN" w:bidi="ar"/>
              </w:rPr>
              <w:t xml:space="preserve"> in Phase 2 due to low interference level.</w:t>
            </w:r>
          </w:p>
          <w:p>
            <w:pPr>
              <w:keepNext/>
              <w:keepLines/>
              <w:overflowPunct/>
              <w:autoSpaceDE/>
              <w:autoSpaceDN/>
              <w:adjustRightInd/>
              <w:spacing w:after="0"/>
              <w:ind w:left="720" w:hanging="720" w:hangingChars="400"/>
              <w:textAlignment w:val="auto"/>
              <w:rPr>
                <w:rFonts w:ascii="Arial" w:hAnsi="Arial" w:eastAsia="SimSun"/>
                <w:sz w:val="18"/>
                <w:lang w:val="en-US" w:eastAsia="zh-CN"/>
              </w:rPr>
            </w:pPr>
          </w:p>
        </w:tc>
      </w:tr>
    </w:tbl>
    <w:p/>
    <w:p>
      <w:pPr>
        <w:pStyle w:val="3"/>
        <w:ind w:left="0" w:firstLine="0"/>
      </w:pPr>
      <w:bookmarkStart w:id="80" w:name="_Toc19222"/>
      <w:bookmarkStart w:id="81" w:name="_Toc30518"/>
      <w:bookmarkStart w:id="82" w:name="_Toc32502"/>
      <w:bookmarkStart w:id="83" w:name="_Toc31666"/>
      <w:bookmarkStart w:id="84" w:name="_Toc133498122"/>
      <w:bookmarkStart w:id="85" w:name="_Toc19232"/>
      <w:r>
        <w:rPr>
          <w:rFonts w:hint="eastAsia"/>
        </w:rPr>
        <w:t xml:space="preserve">6.2 </w:t>
      </w:r>
      <w:r>
        <w:t>Co-existence simulation assumption</w:t>
      </w:r>
      <w:bookmarkEnd w:id="80"/>
      <w:bookmarkEnd w:id="81"/>
      <w:bookmarkEnd w:id="82"/>
      <w:bookmarkEnd w:id="83"/>
      <w:bookmarkEnd w:id="84"/>
      <w:bookmarkEnd w:id="85"/>
    </w:p>
    <w:p>
      <w:pPr>
        <w:pStyle w:val="4"/>
      </w:pPr>
      <w:bookmarkStart w:id="86" w:name="_Toc27869"/>
      <w:bookmarkStart w:id="87" w:name="_Toc19942"/>
      <w:bookmarkStart w:id="88" w:name="_Toc24991"/>
      <w:bookmarkStart w:id="89" w:name="_Toc13494"/>
      <w:bookmarkStart w:id="90" w:name="_Toc9499"/>
      <w:bookmarkStart w:id="91" w:name="_Toc133498123"/>
      <w:r>
        <w:rPr>
          <w:rFonts w:hint="eastAsia"/>
        </w:rPr>
        <w:t xml:space="preserve">6.2.1 </w:t>
      </w:r>
      <w:r>
        <w:t>Network layout model</w:t>
      </w:r>
      <w:bookmarkEnd w:id="86"/>
      <w:bookmarkEnd w:id="87"/>
      <w:bookmarkEnd w:id="88"/>
      <w:bookmarkEnd w:id="89"/>
      <w:bookmarkEnd w:id="90"/>
      <w:bookmarkEnd w:id="91"/>
    </w:p>
    <w:p>
      <w:pPr>
        <w:pStyle w:val="5"/>
      </w:pPr>
      <w:bookmarkStart w:id="92" w:name="_Toc133498124"/>
      <w:bookmarkStart w:id="93" w:name="_Toc29244"/>
      <w:bookmarkStart w:id="94" w:name="_Toc8448"/>
      <w:bookmarkStart w:id="95" w:name="_Toc8193"/>
      <w:bookmarkStart w:id="96" w:name="_Toc5012"/>
      <w:bookmarkStart w:id="97" w:name="_Toc4508"/>
      <w:r>
        <w:rPr>
          <w:rFonts w:hint="eastAsia"/>
          <w:lang w:eastAsia="zh-CN"/>
        </w:rPr>
        <w:t xml:space="preserve">6.2.1.1 </w:t>
      </w:r>
      <w:r>
        <w:t>Co-existence between ATG and NR terrestrial network</w:t>
      </w:r>
      <w:bookmarkEnd w:id="92"/>
      <w:bookmarkEnd w:id="93"/>
      <w:bookmarkEnd w:id="94"/>
      <w:bookmarkEnd w:id="95"/>
      <w:bookmarkEnd w:id="96"/>
      <w:bookmarkEnd w:id="97"/>
    </w:p>
    <w:p>
      <w:r>
        <w:t>Co-existence modelling is based on positioning a single ATG BS/sector and a TN cluster. Two options exist for the positioning of the TN cluster relative to the ATG BS.</w:t>
      </w:r>
    </w:p>
    <w:p>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ctrlPr>
                  <w:rPr>
                    <w:rFonts w:ascii="Cambria Math" w:hAnsi="Cambria Math"/>
                    <w:i/>
                  </w:rPr>
                </m:ctrlPr>
              </m:deg>
              <m:e>
                <m:r>
                  <m:rPr/>
                  <w:rPr>
                    <w:rFonts w:ascii="Cambria Math" w:hAnsi="Cambria Math"/>
                  </w:rPr>
                  <m:t>3</m:t>
                </m:r>
                <m:ctrlPr>
                  <w:rPr>
                    <w:rFonts w:ascii="Cambria Math" w:hAnsi="Cambria Math"/>
                    <w:i/>
                  </w:rPr>
                </m:ctrlPr>
              </m:e>
            </m:rad>
            <m:ctrlPr>
              <w:rPr>
                <w:rFonts w:ascii="Cambria Math" w:hAnsi="Cambria Math"/>
                <w:i/>
              </w:rPr>
            </m:ctrlPr>
          </m:num>
          <m:den>
            <m:r>
              <m:rPr/>
              <w:rPr>
                <w:rFonts w:ascii="Cambria Math" w:hAnsi="Cambria Math"/>
              </w:rPr>
              <m:t>3</m:t>
            </m:r>
            <m:ctrlPr>
              <w:rPr>
                <w:rFonts w:ascii="Cambria Math" w:hAnsi="Cambria Math"/>
                <w:i/>
              </w:rPr>
            </m:ctrlPr>
          </m:den>
        </m:f>
        <m:sSub>
          <m:sSubPr>
            <m:ctrlPr>
              <w:rPr>
                <w:rFonts w:ascii="Cambria Math" w:hAnsi="Cambria Math"/>
                <w:i/>
              </w:rPr>
            </m:ctrlPr>
          </m:sSubPr>
          <m:e>
            <m:r>
              <m:rPr/>
              <w:rPr>
                <w:rFonts w:ascii="Cambria Math" w:hAnsi="Cambria Math"/>
              </w:rPr>
              <m:t>ISD</m:t>
            </m:r>
            <m:ctrlPr>
              <w:rPr>
                <w:rFonts w:ascii="Cambria Math" w:hAnsi="Cambria Math"/>
                <w:i/>
              </w:rPr>
            </m:ctrlPr>
          </m:e>
          <m:sub>
            <m:r>
              <m:rPr/>
              <w:rPr>
                <w:rFonts w:ascii="Cambria Math" w:hAnsi="Cambria Math"/>
              </w:rPr>
              <m:t>TN</m:t>
            </m:r>
            <m:ctrlPr>
              <w:rPr>
                <w:rFonts w:ascii="Cambria Math" w:hAnsi="Cambria Math"/>
                <w:i/>
              </w:rPr>
            </m:ctrlPr>
          </m:sub>
        </m:sSub>
      </m:oMath>
      <w:r>
        <w:t xml:space="preserve"> as depicted in figure 6.2.1.1-2.</w:t>
      </w:r>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6.2.1.1-1 Network layout with TN network located close to ATG BS</w:t>
      </w:r>
    </w:p>
    <w:p>
      <w:pPr>
        <w:jc w:val="center"/>
        <w:rPr>
          <w:rFonts w:ascii="Calibri" w:hAnsi="Calibri" w:cs="Calibri"/>
          <w:b/>
          <w:bCs/>
          <w:sz w:val="22"/>
          <w:szCs w:val="22"/>
          <w:lang w:val="en-US" w:eastAsia="zh-CN"/>
        </w:rPr>
      </w:pPr>
    </w:p>
    <w:p>
      <w:pPr>
        <w:pStyle w:val="76"/>
      </w:pPr>
      <w:r>
        <w:object>
          <v:shape id="_x0000_i1026" o:spt="75" type="#_x0000_t75" style="height:220pt;width:288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pPr>
        <w:pStyle w:val="83"/>
      </w:pPr>
      <w:r>
        <w:t>Figure 6.2.1.1-2 Offset of ATG BS compared to TN BS grid when the TN cluster is located close to the ATG BS</w:t>
      </w:r>
    </w:p>
    <w:p>
      <w:r>
        <w:t xml:space="preserve">For the remaining simulation cases, if the ATG UE has an </w:t>
      </w:r>
      <w:r>
        <w:rPr>
          <w:rFonts w:hint="eastAsia" w:eastAsia="SimSun"/>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6.2.1.1-3 Network layout with TN network located directly underneath the aircraft</w:t>
      </w:r>
    </w:p>
    <w:p>
      <w:pPr>
        <w:jc w:val="center"/>
      </w:pPr>
    </w:p>
    <w:p>
      <w:pPr>
        <w:pStyle w:val="5"/>
        <w:keepNext/>
        <w:keepLines/>
        <w:spacing w:before="120"/>
        <w:ind w:left="1418"/>
        <w:outlineLvl w:val="3"/>
      </w:pPr>
      <w:bookmarkStart w:id="98" w:name="_Toc13081"/>
      <w:bookmarkStart w:id="99" w:name="_Toc9978"/>
      <w:bookmarkStart w:id="100" w:name="_Toc19789"/>
      <w:bookmarkStart w:id="101" w:name="_Toc17713"/>
      <w:r>
        <w:rPr>
          <w:rFonts w:hint="eastAsia"/>
          <w:lang w:eastAsia="zh-CN"/>
        </w:rPr>
        <w:t>6.2.1.</w:t>
      </w:r>
      <w:r>
        <w:rPr>
          <w:lang w:eastAsia="zh-CN"/>
        </w:rPr>
        <w:t>2</w:t>
      </w:r>
      <w:r>
        <w:rPr>
          <w:rFonts w:hint="eastAsia"/>
          <w:lang w:eastAsia="zh-CN"/>
        </w:rPr>
        <w:t xml:space="preserve"> </w:t>
      </w:r>
      <w:r>
        <w:t>TN Network Layout</w:t>
      </w:r>
      <w:bookmarkEnd w:id="98"/>
      <w:bookmarkEnd w:id="99"/>
      <w:bookmarkEnd w:id="100"/>
      <w:bookmarkEnd w:id="101"/>
    </w:p>
    <w:p>
      <w:r>
        <w:t>A rural hexagonal grid layout is assumed for TN network clusters with the parameters of table 6.2.1.1.</w:t>
      </w:r>
    </w:p>
    <w:p>
      <w:pPr>
        <w:keepNext/>
        <w:keepLines/>
        <w:spacing w:before="60"/>
        <w:jc w:val="center"/>
        <w:rPr>
          <w:rFonts w:ascii="Arial" w:hAnsi="Arial"/>
          <w:b/>
        </w:rPr>
      </w:pPr>
      <w:r>
        <w:rPr>
          <w:rFonts w:ascii="Arial" w:hAnsi="Arial"/>
          <w:b/>
        </w:rPr>
        <w:t xml:space="preserve">Table 6.2.1.2-1: Simulation scenarios for </w:t>
      </w:r>
      <w:r>
        <w:rPr>
          <w:rFonts w:hint="eastAsia" w:ascii="Arial" w:hAnsi="Arial" w:eastAsia="SimSun"/>
          <w:b/>
          <w:lang w:val="en-US" w:eastAsia="zh-CN"/>
        </w:rPr>
        <w:t>TN network layout</w:t>
      </w:r>
    </w:p>
    <w:tbl>
      <w:tblPr>
        <w:tblStyle w:val="49"/>
        <w:tblW w:w="9780" w:type="dxa"/>
        <w:tblInd w:w="534" w:type="dxa"/>
        <w:tblLayout w:type="autofit"/>
        <w:tblCellMar>
          <w:top w:w="0" w:type="dxa"/>
          <w:left w:w="0" w:type="dxa"/>
          <w:bottom w:w="0" w:type="dxa"/>
          <w:right w:w="0" w:type="dxa"/>
        </w:tblCellMar>
      </w:tblPr>
      <w:tblGrid>
        <w:gridCol w:w="837"/>
        <w:gridCol w:w="3845"/>
        <w:gridCol w:w="5098"/>
      </w:tblGrid>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Values</w:t>
            </w:r>
          </w:p>
        </w:tc>
      </w:tr>
      <w:tr>
        <w:tblPrEx>
          <w:tblCellMar>
            <w:top w:w="0" w:type="dxa"/>
            <w:left w:w="0" w:type="dxa"/>
            <w:bottom w:w="0" w:type="dxa"/>
            <w:right w:w="0" w:type="dxa"/>
          </w:tblCellMar>
        </w:tblPrEx>
        <w:trPr>
          <w:trHeight w:val="514" w:hRule="atLeast"/>
        </w:trPr>
        <w:tc>
          <w:tcPr>
            <w:tcW w:w="4682" w:type="dxa"/>
            <w:gridSpan w:val="2"/>
            <w:vMerge w:val="restart"/>
            <w:tcBorders>
              <w:top w:val="single" w:color="000000" w:sz="8" w:space="0"/>
              <w:left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Network layout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rFonts w:ascii="Arial" w:hAnsi="Arial" w:cs="Arial"/>
                <w:sz w:val="18"/>
                <w:lang w:eastAsia="ja-JP"/>
              </w:rPr>
            </w:pPr>
            <w:r>
              <w:rPr>
                <w:rFonts w:hint="eastAsia" w:ascii="Arial" w:hAnsi="Arial" w:eastAsia="SimSun" w:cs="Arial"/>
                <w:sz w:val="18"/>
                <w:lang w:val="en-US" w:eastAsia="zh-CN"/>
              </w:rPr>
              <w:t>For synchronized case:</w:t>
            </w:r>
          </w:p>
          <w:p>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pPr>
              <w:keepNext/>
              <w:keepLines/>
              <w:spacing w:after="0"/>
              <w:jc w:val="center"/>
              <w:rPr>
                <w:rFonts w:ascii="Arial" w:hAnsi="Arial" w:eastAsia="MS PGothic"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tblPrEx>
          <w:tblCellMar>
            <w:top w:w="0" w:type="dxa"/>
            <w:left w:w="0" w:type="dxa"/>
            <w:bottom w:w="0" w:type="dxa"/>
            <w:right w:w="0" w:type="dxa"/>
          </w:tblCellMar>
        </w:tblPrEx>
        <w:trPr>
          <w:trHeight w:val="514" w:hRule="atLeast"/>
        </w:trPr>
        <w:tc>
          <w:tcPr>
            <w:tcW w:w="4682" w:type="dxa"/>
            <w:gridSpan w:val="2"/>
            <w:vMerge w:val="continue"/>
            <w:tcBorders>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pP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rFonts w:ascii="Arial" w:hAnsi="Arial" w:cs="Arial"/>
                <w:sz w:val="18"/>
                <w:lang w:eastAsia="ja-JP"/>
              </w:rPr>
            </w:pPr>
            <w:r>
              <w:rPr>
                <w:rFonts w:hint="eastAsia" w:ascii="Arial" w:hAnsi="Arial" w:eastAsia="SimSun" w:cs="Arial"/>
                <w:sz w:val="18"/>
                <w:lang w:val="en-US" w:eastAsia="zh-CN"/>
              </w:rPr>
              <w:t xml:space="preserve">For non-synchronized case: </w:t>
            </w:r>
            <w:r>
              <w:rPr>
                <w:rFonts w:ascii="Arial" w:hAnsi="Arial" w:eastAsia="SimSun" w:cs="Arial"/>
                <w:color w:val="000000" w:themeColor="text1"/>
                <w:sz w:val="18"/>
                <w:szCs w:val="18"/>
                <w:lang w:eastAsia="zh-CN"/>
                <w14:textFill>
                  <w14:solidFill>
                    <w14:schemeClr w14:val="tx1"/>
                  </w14:solidFill>
                </w14:textFill>
              </w:rPr>
              <w:t>no wrap around in TN</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Inter-site distance</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hint="eastAsia" w:ascii="Arial" w:hAnsi="Arial" w:eastAsia="SimSun" w:cs="Arial"/>
                <w:sz w:val="18"/>
                <w:lang w:val="en-US" w:eastAsia="zh-CN"/>
              </w:rPr>
              <w:t>3</w:t>
            </w:r>
            <w:r>
              <w:rPr>
                <w:rFonts w:ascii="Arial" w:hAnsi="Arial" w:cs="Arial"/>
                <w:sz w:val="18"/>
                <w:lang w:eastAsia="ja-JP"/>
              </w:rPr>
              <w:t>.5 km</w:t>
            </w:r>
            <w:r>
              <w:rPr>
                <w:rFonts w:hint="eastAsia" w:ascii="Arial" w:hAnsi="Arial" w:cs="Arial"/>
                <w:sz w:val="18"/>
                <w:lang w:eastAsia="ja-JP"/>
              </w:rPr>
              <w:t xml:space="preserve"> (</w:t>
            </w:r>
            <w:r>
              <w:rPr>
                <w:rFonts w:ascii="Arial" w:hAnsi="Arial" w:cs="Arial"/>
                <w:sz w:val="18"/>
                <w:lang w:eastAsia="ja-JP"/>
              </w:rPr>
              <w:t>4GHz)</w:t>
            </w:r>
          </w:p>
          <w:p>
            <w:pPr>
              <w:keepNext/>
              <w:keepLines/>
              <w:spacing w:after="0"/>
              <w:jc w:val="center"/>
              <w:rPr>
                <w:rFonts w:ascii="Arial" w:hAnsi="Arial" w:cs="Arial"/>
                <w:sz w:val="18"/>
                <w:lang w:eastAsia="ja-JP"/>
              </w:rPr>
            </w:pPr>
            <w:r>
              <w:rPr>
                <w:rFonts w:hint="eastAsia" w:ascii="Arial" w:hAnsi="Arial" w:eastAsia="SimSun" w:cs="Arial"/>
                <w:sz w:val="18"/>
                <w:lang w:val="en-US" w:eastAsia="zh-CN"/>
              </w:rPr>
              <w:t>7</w:t>
            </w:r>
            <w:r>
              <w:rPr>
                <w:rFonts w:ascii="Arial" w:hAnsi="Arial" w:cs="Arial"/>
                <w:sz w:val="18"/>
                <w:lang w:eastAsia="ja-JP"/>
              </w:rPr>
              <w:t>.5 k</w:t>
            </w:r>
            <w:r>
              <w:rPr>
                <w:rFonts w:hint="eastAsia" w:ascii="Arial" w:hAnsi="Arial" w:cs="Arial"/>
                <w:sz w:val="18"/>
                <w:lang w:eastAsia="ja-JP"/>
              </w:rPr>
              <w:t>m (</w:t>
            </w:r>
            <w:r>
              <w:rPr>
                <w:rFonts w:ascii="Arial" w:hAnsi="Arial" w:cs="Arial"/>
                <w:sz w:val="18"/>
                <w:lang w:eastAsia="ja-JP"/>
              </w:rPr>
              <w:t>2GHz</w:t>
            </w:r>
            <w:r>
              <w:rPr>
                <w:rFonts w:hint="eastAsia" w:ascii="Arial" w:hAnsi="Arial" w:cs="Arial"/>
                <w:sz w:val="18"/>
                <w:lang w:eastAsia="ja-JP"/>
              </w:rPr>
              <w:t>)</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BS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30 m</w:t>
            </w:r>
          </w:p>
        </w:tc>
      </w:tr>
      <w:tr>
        <w:tblPrEx>
          <w:tblCellMar>
            <w:top w:w="0" w:type="dxa"/>
            <w:left w:w="0" w:type="dxa"/>
            <w:bottom w:w="0" w:type="dxa"/>
            <w:right w:w="0" w:type="dxa"/>
          </w:tblCellMar>
        </w:tblPrEx>
        <w:tc>
          <w:tcPr>
            <w:tcW w:w="83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location</w:t>
            </w: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Outdoor/indoor</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Outdoor only</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Indoor UE ratio</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sz w:val="18"/>
                <w:lang w:eastAsia="ja-JP"/>
              </w:rPr>
              <w:t>0</w:t>
            </w:r>
            <w:r>
              <w:rPr>
                <w:rFonts w:hint="eastAsia" w:ascii="Arial" w:hAnsi="Arial"/>
                <w:sz w:val="18"/>
                <w:lang w:eastAsia="ja-JP"/>
              </w:rPr>
              <w:t>%</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LOS/NLOS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LOS and NLOS, see subclause 6.2.5</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UE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val="nl-NL" w:eastAsia="ja-JP"/>
              </w:rPr>
              <w:t>1.5m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distribution (horizontal)</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Uniform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Minimum BS - UE distance (2D)</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35 m</w:t>
            </w:r>
          </w:p>
        </w:tc>
      </w:tr>
    </w:tbl>
    <w:p/>
    <w:p>
      <w:pPr>
        <w:pStyle w:val="5"/>
        <w:keepNext/>
        <w:keepLines/>
        <w:spacing w:before="120"/>
        <w:ind w:left="1418"/>
        <w:outlineLvl w:val="3"/>
      </w:pPr>
      <w:bookmarkStart w:id="102" w:name="_Toc21132"/>
      <w:bookmarkStart w:id="103" w:name="_Toc1022"/>
      <w:bookmarkStart w:id="104" w:name="_Toc11279"/>
      <w:bookmarkStart w:id="105" w:name="_Toc12492"/>
      <w:r>
        <w:rPr>
          <w:rFonts w:hint="eastAsia"/>
          <w:lang w:eastAsia="zh-CN"/>
        </w:rPr>
        <w:t>6.2.1.</w:t>
      </w:r>
      <w:r>
        <w:rPr>
          <w:lang w:eastAsia="zh-CN"/>
        </w:rPr>
        <w:t>3</w:t>
      </w:r>
      <w:r>
        <w:rPr>
          <w:rFonts w:hint="eastAsia"/>
          <w:lang w:eastAsia="zh-CN"/>
        </w:rPr>
        <w:t xml:space="preserve"> </w:t>
      </w:r>
      <w:r>
        <w:t>ATG Network Layout</w:t>
      </w:r>
      <w:bookmarkEnd w:id="102"/>
      <w:bookmarkEnd w:id="103"/>
      <w:bookmarkEnd w:id="104"/>
      <w:bookmarkEnd w:id="105"/>
    </w:p>
    <w:p>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pPr>
        <w:rPr>
          <w:iCs/>
          <w:lang w:eastAsia="zh-CN"/>
        </w:rPr>
      </w:pPr>
      <w:r>
        <w:rPr>
          <w:iCs/>
          <w:lang w:eastAsia="zh-CN"/>
        </w:rPr>
        <w:t>In the vertical domain, ATG UEs are distributed in height between 3000m and 10000m</w:t>
      </w:r>
    </w:p>
    <w:p>
      <w:pPr>
        <w:keepNext/>
        <w:keepLines/>
        <w:spacing w:before="60"/>
        <w:jc w:val="center"/>
        <w:rPr>
          <w:rFonts w:ascii="Arial" w:hAnsi="Arial"/>
          <w:b/>
        </w:rPr>
      </w:pPr>
      <w:r>
        <w:rPr>
          <w:rFonts w:ascii="Arial" w:hAnsi="Arial"/>
          <w:b/>
        </w:rPr>
        <w:t>Table 6.2.1.2-1: Simulation scenarios for ATG coexistence study</w:t>
      </w:r>
    </w:p>
    <w:tbl>
      <w:tblPr>
        <w:tblStyle w:val="49"/>
        <w:tblW w:w="9323" w:type="dxa"/>
        <w:tblInd w:w="534" w:type="dxa"/>
        <w:tblLayout w:type="autofit"/>
        <w:tblCellMar>
          <w:top w:w="0" w:type="dxa"/>
          <w:left w:w="0" w:type="dxa"/>
          <w:bottom w:w="0" w:type="dxa"/>
          <w:right w:w="0" w:type="dxa"/>
        </w:tblCellMar>
      </w:tblPr>
      <w:tblGrid>
        <w:gridCol w:w="4400"/>
        <w:gridCol w:w="2475"/>
        <w:gridCol w:w="2448"/>
      </w:tblGrid>
      <w:tr>
        <w:tblPrEx>
          <w:tblCellMar>
            <w:top w:w="0" w:type="dxa"/>
            <w:left w:w="0" w:type="dxa"/>
            <w:bottom w:w="0" w:type="dxa"/>
            <w:right w:w="0" w:type="dxa"/>
          </w:tblCellMar>
        </w:tblPrEx>
        <w:trPr>
          <w:trHeight w:val="193" w:hRule="atLeast"/>
        </w:trPr>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No sub-arrays</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b/>
                <w:sz w:val="18"/>
                <w:lang w:eastAsia="ja-JP"/>
              </w:rPr>
            </w:pPr>
            <w:r>
              <w:rPr>
                <w:rFonts w:ascii="Arial" w:hAnsi="Arial"/>
                <w:b/>
                <w:sz w:val="18"/>
                <w:lang w:eastAsia="ja-JP"/>
              </w:rPr>
              <w:t>Sub-arrays</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Minimum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20km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50km</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Maximum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cs="Arial"/>
                <w:sz w:val="18"/>
                <w:lang w:eastAsia="ja-JP"/>
              </w:rPr>
            </w:pPr>
            <w:r>
              <w:rPr>
                <w:rFonts w:ascii="Arial" w:hAnsi="Arial" w:cs="Arial"/>
                <w:sz w:val="18"/>
                <w:lang w:eastAsia="ja-JP"/>
              </w:rPr>
              <w:t>100km</w:t>
            </w:r>
          </w:p>
        </w:tc>
      </w:tr>
    </w:tbl>
    <w:p>
      <w:pPr>
        <w:rPr>
          <w:iCs/>
          <w:lang w:eastAsia="zh-CN"/>
        </w:rPr>
      </w:pPr>
    </w:p>
    <w:p>
      <w:pPr>
        <w:jc w:val="center"/>
        <w:rPr>
          <w:iCs/>
          <w:lang w:eastAsia="zh-CN"/>
        </w:rPr>
      </w:pPr>
      <w:r>
        <w:rPr>
          <w:iCs/>
          <w:lang w:eastAsia="zh-CN"/>
        </w:rPr>
        <w:drawing>
          <wp:inline distT="0" distB="0" distL="0" distR="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6.2.1.3-1 ATG BS layout (In horizontal boresight direction of ATG antenna)</w:t>
      </w:r>
    </w:p>
    <w:p>
      <w:pPr>
        <w:tabs>
          <w:tab w:val="left" w:pos="1622"/>
        </w:tabs>
        <w:spacing w:after="0" w:line="259" w:lineRule="auto"/>
        <w:rPr>
          <w:rFonts w:ascii="Arial" w:hAnsi="Arial" w:eastAsia="MS Mincho" w:cs="Arial"/>
          <w:szCs w:val="24"/>
          <w:lang w:val="en-US" w:eastAsia="zh-CN"/>
        </w:rPr>
      </w:pPr>
    </w:p>
    <w:p>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hint="eastAsia" w:eastAsia="等线"/>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pPr>
        <w:pStyle w:val="74"/>
        <w:rPr>
          <w:rFonts w:eastAsia="等线"/>
          <w:lang w:val="en-US" w:eastAsia="ko" w:bidi="ar"/>
        </w:rPr>
      </w:pPr>
      <w:r>
        <w:rPr>
          <w:rFonts w:eastAsia="等线"/>
          <w:lang w:val="en-US" w:eastAsia="ko" w:bidi="ar"/>
        </w:rPr>
        <w:t>-</w:t>
      </w:r>
      <w:r>
        <w:rPr>
          <w:rFonts w:eastAsia="等线"/>
          <w:lang w:val="en-US" w:eastAsia="ko" w:bidi="ar"/>
        </w:rPr>
        <w:tab/>
      </w:r>
      <w:r>
        <w:rPr>
          <w:rFonts w:eastAsia="等线"/>
          <w:lang w:val="en-US" w:eastAsia="ko" w:bidi="ar"/>
        </w:rPr>
        <w:t xml:space="preserve">Optional: ATG BS is 300km away.  </w:t>
      </w:r>
    </w:p>
    <w:p>
      <w:pPr>
        <w:overflowPunct/>
        <w:autoSpaceDE/>
        <w:autoSpaceDN/>
        <w:adjustRightInd/>
        <w:spacing w:after="120"/>
        <w:textAlignment w:val="auto"/>
        <w:rPr>
          <w:szCs w:val="24"/>
          <w:lang w:val="en-US" w:eastAsia="zh-CN"/>
        </w:rPr>
      </w:pPr>
      <w:r>
        <w:rPr>
          <w:szCs w:val="24"/>
          <w:lang w:val="en-US" w:eastAsia="zh-CN" w:bidi="ar"/>
        </w:rPr>
        <w:t xml:space="preserve"> </w:t>
      </w:r>
    </w:p>
    <w:p>
      <w:pPr>
        <w:pStyle w:val="76"/>
        <w:rPr>
          <w:lang w:val="en-US" w:eastAsia="zh-CN" w:bidi="ar"/>
        </w:rPr>
      </w:pPr>
      <w:r>
        <w:rPr>
          <w:lang w:val="en-US" w:eastAsia="zh-CN" w:bidi="ar"/>
        </w:rPr>
        <w:drawing>
          <wp:inline distT="0" distB="0" distL="114300" distR="114300">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2978150" cy="1790700"/>
                    </a:xfrm>
                    <a:prstGeom prst="rect">
                      <a:avLst/>
                    </a:prstGeom>
                    <a:noFill/>
                    <a:ln>
                      <a:noFill/>
                    </a:ln>
                  </pic:spPr>
                </pic:pic>
              </a:graphicData>
            </a:graphic>
          </wp:inline>
        </w:drawing>
      </w:r>
    </w:p>
    <w:p>
      <w:pPr>
        <w:pStyle w:val="83"/>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pPr>
        <w:overflowPunct/>
        <w:autoSpaceDE/>
        <w:autoSpaceDN/>
        <w:adjustRightInd/>
        <w:spacing w:after="160" w:line="259" w:lineRule="auto"/>
        <w:textAlignment w:val="auto"/>
        <w:rPr>
          <w:rFonts w:ascii="Arial" w:hAnsi="Arial" w:eastAsia="Calibri" w:cs="Arial"/>
          <w:szCs w:val="22"/>
          <w:lang w:val="en-US" w:eastAsia="ja-JP"/>
        </w:rPr>
      </w:pPr>
    </w:p>
    <w:p>
      <w:pPr>
        <w:pStyle w:val="5"/>
      </w:pPr>
      <w:bookmarkStart w:id="106" w:name="_Toc16332"/>
      <w:bookmarkStart w:id="107" w:name="_Toc19236"/>
      <w:bookmarkStart w:id="108" w:name="_Toc26015"/>
      <w:bookmarkStart w:id="109" w:name="_Toc7487"/>
      <w:bookmarkStart w:id="110" w:name="_Toc10211"/>
      <w:r>
        <w:t>6.2.1.4 Non-synchronized scenarios network layout</w:t>
      </w:r>
      <w:bookmarkEnd w:id="106"/>
      <w:bookmarkEnd w:id="107"/>
      <w:bookmarkEnd w:id="108"/>
      <w:bookmarkEnd w:id="109"/>
      <w:bookmarkEnd w:id="110"/>
    </w:p>
    <w:p>
      <w:pPr>
        <w:pStyle w:val="6"/>
        <w:rPr>
          <w:lang w:val="en-GB" w:eastAsia="ja-JP"/>
        </w:rPr>
      </w:pPr>
      <w:bookmarkStart w:id="111" w:name="_Toc10678"/>
      <w:bookmarkStart w:id="112" w:name="_Toc3483"/>
      <w:bookmarkStart w:id="113" w:name="_Toc7572"/>
      <w:bookmarkStart w:id="114" w:name="_Toc21811"/>
      <w:bookmarkStart w:id="115" w:name="_Toc7447"/>
      <w:r>
        <w:rPr>
          <w:lang w:val="en-GB" w:eastAsia="ja-JP"/>
        </w:rPr>
        <w:t xml:space="preserve">Case 1 - </w:t>
      </w:r>
      <w:r>
        <w:t>Angle between ATG BS boresight and nearest TN BS boresight in azimuth is 0 degree</w:t>
      </w:r>
      <w:bookmarkEnd w:id="111"/>
      <w:bookmarkEnd w:id="112"/>
      <w:bookmarkEnd w:id="113"/>
      <w:bookmarkEnd w:id="114"/>
      <w:bookmarkEnd w:id="115"/>
    </w:p>
    <w:p>
      <w:pPr>
        <w:rPr>
          <w:rFonts w:cs="Arial"/>
          <w:szCs w:val="20"/>
          <w:lang w:val="en-GB" w:eastAsia="ja-JP"/>
        </w:rPr>
      </w:pPr>
      <w:r>
        <w:rPr>
          <w:rFonts w:cs="Arial"/>
          <w:lang w:val="en-GB" w:eastAsia="ja-JP"/>
        </w:rPr>
        <w:t xml:space="preserve">Figure </w:t>
      </w:r>
      <w:r>
        <w:rPr>
          <w:rFonts w:hint="eastAsia" w:eastAsia="SimSun" w:cs="Arial"/>
          <w:lang w:val="en-US" w:eastAsia="zh-CN"/>
        </w:rPr>
        <w:t>6.2.1.4-</w:t>
      </w:r>
      <w:r>
        <w:rPr>
          <w:rFonts w:cs="Arial"/>
          <w:lang w:val="en-GB" w:eastAsia="ja-JP"/>
        </w:rPr>
        <w:t>1 depicts the case when the angle between ATG BS boresight and nearest TN boresight in azimuth is 0 degree</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0 degree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1,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1,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BS, ATG UE and TN cluster center are in a straight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lang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keepNext/>
        <w:jc w:val="center"/>
        <w:rPr>
          <w:rFonts w:cs="Arial"/>
        </w:rPr>
      </w:pPr>
      <w:r>
        <w:rPr>
          <w:rFonts w:cs="Arial"/>
        </w:rPr>
        <w:drawing>
          <wp:inline distT="0" distB="0" distL="0" distR="0">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pPr>
        <w:pStyle w:val="28"/>
        <w:jc w:val="center"/>
        <w:rPr>
          <w:rFonts w:ascii="Arial" w:hAnsi="Arial" w:cs="Arial"/>
          <w:i w:val="0"/>
          <w:iCs w:val="0"/>
          <w:color w:val="auto"/>
          <w:lang w:val="en-GB" w:eastAsia="ja-JP"/>
        </w:rPr>
      </w:pPr>
      <w:r>
        <w:rPr>
          <w:rFonts w:ascii="Arial" w:hAnsi="Arial" w:cs="Arial"/>
          <w:i w:val="0"/>
          <w:iCs w:val="0"/>
          <w:color w:val="auto"/>
        </w:rPr>
        <w:t xml:space="preserve">Figure </w:t>
      </w:r>
      <w:r>
        <w:rPr>
          <w:rFonts w:hint="default" w:ascii="Arial" w:hAnsi="Arial" w:eastAsia="SimSun" w:cs="Arial"/>
          <w:i w:val="0"/>
          <w:iCs w:val="0"/>
          <w:color w:val="auto"/>
          <w:lang w:val="en-US" w:eastAsia="zh-CN"/>
        </w:rPr>
        <w:t>6.2.1.4-</w:t>
      </w:r>
      <w:r>
        <w:rPr>
          <w:rFonts w:ascii="Arial" w:hAnsi="Arial" w:cs="Arial"/>
          <w:i w:val="0"/>
          <w:iCs w:val="0"/>
          <w:color w:val="auto"/>
        </w:rPr>
        <w:fldChar w:fldCharType="begin"/>
      </w:r>
      <w:r>
        <w:rPr>
          <w:rFonts w:ascii="Arial" w:hAnsi="Arial" w:cs="Arial"/>
          <w:i w:val="0"/>
          <w:iCs w:val="0"/>
          <w:color w:val="auto"/>
        </w:rPr>
        <w:instrText xml:space="preserve"> SEQ Figure \* ARABIC </w:instrText>
      </w:r>
      <w:r>
        <w:rPr>
          <w:rFonts w:ascii="Arial" w:hAnsi="Arial" w:cs="Arial"/>
          <w:i w:val="0"/>
          <w:iCs w:val="0"/>
          <w:color w:val="auto"/>
        </w:rPr>
        <w:fldChar w:fldCharType="separate"/>
      </w:r>
      <w:r>
        <w:rPr>
          <w:rFonts w:ascii="Arial" w:hAnsi="Arial" w:cs="Arial"/>
          <w:i w:val="0"/>
          <w:iCs w:val="0"/>
          <w:color w:val="auto"/>
        </w:rPr>
        <w:t>1</w:t>
      </w:r>
      <w:r>
        <w:rPr>
          <w:rFonts w:ascii="Arial" w:hAnsi="Arial" w:cs="Arial"/>
          <w:i w:val="0"/>
          <w:iCs w:val="0"/>
          <w:color w:val="auto"/>
        </w:rPr>
        <w:fldChar w:fldCharType="end"/>
      </w:r>
      <w:r>
        <w:rPr>
          <w:rFonts w:ascii="Arial" w:hAnsi="Arial" w:cs="Arial"/>
          <w:i w:val="0"/>
          <w:iCs w:val="0"/>
          <w:color w:val="auto"/>
        </w:rPr>
        <w:t>: Angle between ATG BS boresight and nearest TN BS boresight in azimuth is 0 degree</w:t>
      </w:r>
    </w:p>
    <w:p>
      <w:pPr>
        <w:rPr>
          <w:rFonts w:cs="Arial"/>
          <w:lang w:val="en-GB" w:eastAsia="ja-JP"/>
        </w:rPr>
      </w:pPr>
    </w:p>
    <w:p>
      <w:pPr>
        <w:pStyle w:val="6"/>
        <w:rPr>
          <w:lang w:val="en-GB" w:eastAsia="ja-JP"/>
        </w:rPr>
      </w:pPr>
      <w:bookmarkStart w:id="116" w:name="_Toc6154"/>
      <w:bookmarkStart w:id="117" w:name="_Toc3421"/>
      <w:bookmarkStart w:id="118" w:name="_Toc16696"/>
      <w:bookmarkStart w:id="119" w:name="_Toc20844"/>
      <w:bookmarkStart w:id="120" w:name="_Toc25927"/>
      <w:r>
        <w:rPr>
          <w:lang w:val="en-GB" w:eastAsia="ja-JP"/>
        </w:rPr>
        <w:t xml:space="preserve">Case 2 - </w:t>
      </w:r>
      <w:r>
        <w:t>Angle between ATG BS boresight and nearest TN BS boresight in azimuth is 30 degrees</w:t>
      </w:r>
      <w:bookmarkEnd w:id="116"/>
      <w:bookmarkEnd w:id="117"/>
      <w:bookmarkEnd w:id="118"/>
      <w:bookmarkEnd w:id="119"/>
      <w:bookmarkEnd w:id="120"/>
    </w:p>
    <w:p>
      <w:pPr>
        <w:rPr>
          <w:rFonts w:cs="Arial"/>
          <w:szCs w:val="20"/>
          <w:lang w:val="en-GB" w:eastAsia="ja-JP"/>
        </w:rPr>
      </w:pPr>
      <w:r>
        <w:rPr>
          <w:rFonts w:cs="Arial"/>
          <w:lang w:val="en-GB" w:eastAsia="ja-JP"/>
        </w:rPr>
        <w:t xml:space="preserve">Figure </w:t>
      </w:r>
      <w:r>
        <w:rPr>
          <w:rFonts w:hint="eastAsia" w:eastAsia="SimSun" w:cs="Arial"/>
          <w:lang w:val="en-US" w:eastAsia="zh-CN"/>
        </w:rPr>
        <w:t>6.2.1.4-</w:t>
      </w:r>
      <w:r>
        <w:rPr>
          <w:rFonts w:cs="Arial"/>
          <w:lang w:val="en-GB" w:eastAsia="ja-JP"/>
        </w:rPr>
        <w:t>2 depicts the case when the angle between ATG BS boresight and nearest TN boresight in azimuth is 30 degrees</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30 degrees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2,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2,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keepNext/>
        <w:jc w:val="center"/>
        <w:rPr>
          <w:rFonts w:cs="Arial"/>
        </w:rPr>
      </w:pPr>
    </w:p>
    <w:p>
      <w:pPr>
        <w:keepNext/>
        <w:jc w:val="center"/>
        <w:rPr>
          <w:rFonts w:cs="Arial"/>
        </w:rPr>
      </w:pPr>
      <w:r>
        <w:rPr>
          <w:rFonts w:cs="Arial"/>
        </w:rPr>
        <w:drawing>
          <wp:inline distT="0" distB="0" distL="0" distR="0">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pPr>
        <w:pStyle w:val="28"/>
        <w:jc w:val="center"/>
        <w:rPr>
          <w:rFonts w:ascii="Arial" w:hAnsi="Arial" w:cs="Arial"/>
          <w:i w:val="0"/>
          <w:iCs w:val="0"/>
          <w:color w:val="auto"/>
        </w:rPr>
      </w:pPr>
      <w:r>
        <w:rPr>
          <w:rFonts w:ascii="Arial" w:hAnsi="Arial" w:cs="Arial"/>
          <w:i w:val="0"/>
          <w:iCs w:val="0"/>
          <w:color w:val="auto"/>
        </w:rPr>
        <w:t xml:space="preserve">Figure </w:t>
      </w:r>
      <w:r>
        <w:rPr>
          <w:rFonts w:hint="default" w:ascii="Arial" w:hAnsi="Arial" w:eastAsia="SimSun" w:cs="Arial"/>
          <w:i w:val="0"/>
          <w:iCs w:val="0"/>
          <w:color w:val="auto"/>
          <w:lang w:val="en-US" w:eastAsia="zh-CN"/>
        </w:rPr>
        <w:t>6.2.1.4-2</w:t>
      </w:r>
      <w:r>
        <w:rPr>
          <w:rFonts w:ascii="Arial" w:hAnsi="Arial" w:cs="Arial"/>
          <w:i w:val="0"/>
          <w:iCs w:val="0"/>
          <w:color w:val="auto"/>
        </w:rPr>
        <w:t>: Angle between ATG BS boresight and nearest TN BS boresight in azimuth is 30 degrees</w:t>
      </w:r>
    </w:p>
    <w:p>
      <w:pPr>
        <w:rPr>
          <w:rFonts w:cs="Arial"/>
          <w:lang w:val="en-GB" w:eastAsia="ja-JP"/>
        </w:rPr>
      </w:pPr>
    </w:p>
    <w:p>
      <w:pPr>
        <w:pStyle w:val="6"/>
        <w:rPr>
          <w:lang w:val="en-GB" w:eastAsia="ja-JP"/>
        </w:rPr>
      </w:pPr>
      <w:bookmarkStart w:id="121" w:name="_Toc12220"/>
      <w:bookmarkStart w:id="122" w:name="_Toc6912"/>
      <w:bookmarkStart w:id="123" w:name="_Toc9322"/>
      <w:bookmarkStart w:id="124" w:name="_Toc30616"/>
      <w:bookmarkStart w:id="125" w:name="_Toc25917"/>
      <w:r>
        <w:rPr>
          <w:lang w:val="en-GB" w:eastAsia="ja-JP"/>
        </w:rPr>
        <w:t xml:space="preserve">Case 3 - </w:t>
      </w:r>
      <w:r>
        <w:t>Angle between ATG BS boresight and nearest TN BS boresight in azimuth is 60 degrees</w:t>
      </w:r>
      <w:bookmarkEnd w:id="121"/>
      <w:bookmarkEnd w:id="122"/>
      <w:bookmarkEnd w:id="123"/>
      <w:bookmarkEnd w:id="124"/>
      <w:bookmarkEnd w:id="125"/>
    </w:p>
    <w:p>
      <w:pPr>
        <w:rPr>
          <w:rFonts w:cs="Arial"/>
          <w:szCs w:val="20"/>
          <w:lang w:val="en-GB" w:eastAsia="ja-JP"/>
        </w:rPr>
      </w:pPr>
      <w:r>
        <w:rPr>
          <w:rFonts w:cs="Arial"/>
          <w:lang w:val="en-GB" w:eastAsia="ja-JP"/>
        </w:rPr>
        <w:t xml:space="preserve">Figure </w:t>
      </w:r>
      <w:r>
        <w:rPr>
          <w:rFonts w:hint="eastAsia" w:eastAsia="SimSun" w:cs="Arial"/>
          <w:lang w:val="en-US" w:eastAsia="zh-CN"/>
        </w:rPr>
        <w:t>6.2.1.4-</w:t>
      </w:r>
      <w:r>
        <w:rPr>
          <w:rFonts w:cs="Arial"/>
          <w:lang w:val="en-GB" w:eastAsia="ja-JP"/>
        </w:rPr>
        <w:t>3 depicts the case when the angle between ATG BS boresight and nearest TN boresight in azimuth is 60 degrees</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60 degrees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3,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3,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rPr>
          <w:rFonts w:cs="Arial"/>
          <w:lang w:val="en-GB" w:eastAsia="ja-JP"/>
        </w:rPr>
      </w:pPr>
    </w:p>
    <w:p>
      <w:pPr>
        <w:keepNext/>
        <w:jc w:val="center"/>
        <w:rPr>
          <w:rFonts w:cs="Arial"/>
          <w:lang w:val="en-GB"/>
        </w:rPr>
      </w:pPr>
      <w:r>
        <w:rPr>
          <w:rFonts w:cs="Arial"/>
          <w:lang w:val="en-GB"/>
        </w:rPr>
        <w:drawing>
          <wp:inline distT="0" distB="0" distL="0" distR="0">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pPr>
        <w:pStyle w:val="28"/>
        <w:jc w:val="center"/>
        <w:rPr>
          <w:rFonts w:ascii="Arial" w:hAnsi="Arial" w:cs="Arial"/>
          <w:i w:val="0"/>
          <w:iCs w:val="0"/>
          <w:color w:val="auto"/>
          <w:lang w:val="en-GB" w:eastAsia="ja-JP"/>
        </w:rPr>
      </w:pPr>
      <w:r>
        <w:rPr>
          <w:rFonts w:ascii="Arial" w:hAnsi="Arial" w:cs="Arial"/>
          <w:i w:val="0"/>
          <w:iCs w:val="0"/>
          <w:color w:val="auto"/>
        </w:rPr>
        <w:t xml:space="preserve">Figure </w:t>
      </w:r>
      <w:r>
        <w:rPr>
          <w:rFonts w:hint="default" w:ascii="Arial" w:hAnsi="Arial" w:eastAsia="SimSun" w:cs="Arial"/>
          <w:i w:val="0"/>
          <w:iCs w:val="0"/>
          <w:color w:val="auto"/>
          <w:lang w:val="en-US" w:eastAsia="zh-CN"/>
        </w:rPr>
        <w:t>6.2.1.4-3</w:t>
      </w:r>
      <w:r>
        <w:rPr>
          <w:rFonts w:ascii="Arial" w:hAnsi="Arial" w:cs="Arial"/>
          <w:i w:val="0"/>
          <w:iCs w:val="0"/>
          <w:color w:val="auto"/>
        </w:rPr>
        <w:t>: Angle between ATG BS boresight and nearest TN BS boresight in azimuth is 60 degrees</w:t>
      </w:r>
    </w:p>
    <w:p>
      <w:pPr>
        <w:pStyle w:val="4"/>
        <w:keepNext/>
        <w:keepLines/>
        <w:spacing w:before="120"/>
        <w:ind w:left="1134"/>
        <w:outlineLvl w:val="2"/>
      </w:pPr>
      <w:bookmarkStart w:id="126" w:name="_Toc16706"/>
      <w:bookmarkStart w:id="127" w:name="_Toc25668"/>
      <w:bookmarkStart w:id="128" w:name="_Toc4465"/>
      <w:bookmarkStart w:id="129" w:name="_Toc14526"/>
      <w:r>
        <w:rPr>
          <w:rFonts w:hint="eastAsia"/>
          <w:lang w:eastAsia="zh-CN"/>
        </w:rPr>
        <w:t xml:space="preserve">6.2.2 </w:t>
      </w:r>
      <w:r>
        <w:t>System parameters</w:t>
      </w:r>
      <w:bookmarkEnd w:id="126"/>
      <w:bookmarkEnd w:id="127"/>
      <w:bookmarkEnd w:id="128"/>
      <w:bookmarkEnd w:id="129"/>
    </w:p>
    <w:p>
      <w:pPr>
        <w:pStyle w:val="5"/>
        <w:keepNext/>
        <w:keepLines/>
        <w:spacing w:before="120"/>
        <w:ind w:left="1418"/>
        <w:outlineLvl w:val="3"/>
      </w:pPr>
      <w:bookmarkStart w:id="130" w:name="_Toc8931"/>
      <w:bookmarkStart w:id="131" w:name="_Toc7713"/>
      <w:bookmarkStart w:id="132" w:name="_Toc1422"/>
      <w:bookmarkStart w:id="133" w:name="_Toc28382"/>
      <w:r>
        <w:rPr>
          <w:rFonts w:hint="eastAsia"/>
        </w:rPr>
        <w:t xml:space="preserve">6.2.2.1 </w:t>
      </w:r>
      <w:r>
        <w:t>ATG parameters</w:t>
      </w:r>
      <w:bookmarkEnd w:id="130"/>
      <w:bookmarkEnd w:id="131"/>
      <w:bookmarkEnd w:id="132"/>
      <w:bookmarkEnd w:id="133"/>
    </w:p>
    <w:p>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pPr>
        <w:keepNext/>
        <w:keepLines/>
        <w:spacing w:before="60"/>
        <w:jc w:val="center"/>
        <w:rPr>
          <w:rFonts w:ascii="Arial" w:hAnsi="Arial"/>
          <w:b/>
        </w:rPr>
      </w:pPr>
      <w:r>
        <w:rPr>
          <w:rFonts w:ascii="Arial" w:hAnsi="Arial"/>
          <w:b/>
        </w:rPr>
        <w:t>Table 6.2.2.1-1: system parameters for ATG BS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9"/>
        <w:gridCol w:w="7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2GHz, </w:t>
            </w:r>
            <w:r>
              <w:rPr>
                <w:rFonts w:hint="eastAsia" w:ascii="Arial" w:hAnsi="Arial"/>
                <w:sz w:val="18"/>
                <w:lang w:eastAsia="zh-CN"/>
              </w:rPr>
              <w:t>4</w:t>
            </w:r>
            <w:r>
              <w:rPr>
                <w:rFonts w:ascii="Arial" w:hAnsi="Arial"/>
                <w:sz w:val="18"/>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FDD@2GHz, TDD@</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20MHz@2GHz, 100MHz@</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15k@2GHz, 30k@</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Single ATG UE per ATG cell</w:t>
            </w:r>
          </w:p>
          <w:p>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pPr>
              <w:keepNext/>
              <w:keepLines/>
              <w:spacing w:after="20"/>
              <w:rPr>
                <w:rFonts w:ascii="Arial" w:hAnsi="Arial"/>
                <w:sz w:val="18"/>
              </w:rPr>
            </w:pPr>
            <w:r>
              <w:rPr>
                <w:rFonts w:ascii="Arial" w:hAnsi="Arial"/>
                <w:sz w:val="18"/>
              </w:rPr>
              <w:t>Vertical: Based on ATG UE uniform distribution among 3 to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UL active UEs per cell</w:t>
            </w:r>
          </w:p>
          <w:p>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pPr>
              <w:keepNext/>
              <w:keepLines/>
              <w:spacing w:after="20"/>
              <w:rPr>
                <w:rFonts w:ascii="Arial" w:hAnsi="Arial"/>
                <w:sz w:val="18"/>
                <w:lang w:eastAsia="zh-CN"/>
              </w:rPr>
            </w:pPr>
            <w:r>
              <w:rPr>
                <w:rFonts w:hint="eastAsia" w:ascii="Arial" w:hAnsi="Arial"/>
                <w:sz w:val="18"/>
                <w:lang w:eastAsia="zh-CN"/>
              </w:rPr>
              <w:t>1</w:t>
            </w:r>
            <w:r>
              <w:rPr>
                <w:rFonts w:ascii="Arial" w:hAnsi="Arial"/>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maximum output power</w:t>
            </w:r>
          </w:p>
        </w:tc>
        <w:tc>
          <w:tcPr>
            <w:tcW w:w="0" w:type="auto"/>
            <w:tcMar>
              <w:top w:w="28" w:type="dxa"/>
              <w:bottom w:w="28" w:type="dxa"/>
            </w:tcMar>
            <w:vAlign w:val="center"/>
          </w:tcPr>
          <w:p>
            <w:pPr>
              <w:keepNext/>
              <w:keepLines/>
              <w:spacing w:after="20"/>
              <w:rPr>
                <w:rFonts w:ascii="Arial" w:hAnsi="Arial" w:eastAsia="SimSun"/>
                <w:sz w:val="18"/>
                <w:lang w:eastAsia="zh-CN"/>
              </w:rPr>
            </w:pPr>
            <w:r>
              <w:rPr>
                <w:rFonts w:ascii="Arial" w:hAnsi="Arial" w:eastAsia="SimSun"/>
                <w:sz w:val="18"/>
                <w:lang w:eastAsia="zh-CN"/>
              </w:rPr>
              <w:t>46dBm sum of two polarizations</w:t>
            </w:r>
            <w:r>
              <w:rPr>
                <w:rFonts w:hint="eastAsia" w:ascii="Arial" w:hAnsi="Arial" w:eastAsia="SimSun"/>
                <w:sz w:val="18"/>
                <w:lang w:eastAsia="zh-CN"/>
              </w:rPr>
              <w:t xml:space="preserve"> </w:t>
            </w:r>
            <w:r>
              <w:rPr>
                <w:rFonts w:ascii="Arial" w:hAnsi="Arial" w:eastAsia="SimSun"/>
                <w:sz w:val="18"/>
                <w:lang w:eastAsia="zh-CN"/>
              </w:rPr>
              <w:t>for 2GHz</w:t>
            </w:r>
          </w:p>
          <w:p>
            <w:pPr>
              <w:keepNext/>
              <w:keepLines/>
              <w:spacing w:after="20"/>
              <w:rPr>
                <w:rFonts w:ascii="Arial" w:hAnsi="Arial" w:eastAsia="SimSun"/>
                <w:sz w:val="18"/>
                <w:lang w:eastAsia="zh-CN"/>
              </w:rPr>
            </w:pPr>
            <w:r>
              <w:rPr>
                <w:rFonts w:hint="eastAsia" w:ascii="Arial" w:hAnsi="Arial" w:eastAsia="SimSun"/>
                <w:sz w:val="18"/>
                <w:lang w:eastAsia="zh-CN"/>
              </w:rPr>
              <w:t xml:space="preserve">53dBm </w:t>
            </w:r>
            <w:r>
              <w:rPr>
                <w:rFonts w:ascii="Arial" w:hAnsi="Arial"/>
                <w:sz w:val="18"/>
                <w:lang w:eastAsia="zh-CN"/>
              </w:rPr>
              <w:t>sum of two polarizations</w:t>
            </w:r>
            <w:r>
              <w:rPr>
                <w:rFonts w:hint="eastAsia" w:ascii="Arial" w:hAnsi="Arial" w:eastAsia="SimSun"/>
                <w:sz w:val="18"/>
                <w:lang w:eastAsia="zh-CN"/>
              </w:rPr>
              <w:t xml:space="preserve">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noise figure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Mar>
              <w:top w:w="28" w:type="dxa"/>
              <w:bottom w:w="28" w:type="dxa"/>
            </w:tcMar>
            <w:vAlign w:val="center"/>
          </w:tcPr>
          <w:p>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hint="eastAsia" w:ascii="Arial" w:hAnsi="Arial"/>
                <w:sz w:val="18"/>
                <w:lang w:eastAsia="zh-CN"/>
              </w:rPr>
              <w:t>ATG BS</w:t>
            </w:r>
            <w:r>
              <w:rPr>
                <w:rFonts w:ascii="Arial" w:hAnsi="Arial"/>
                <w:sz w:val="18"/>
              </w:rPr>
              <w:t xml:space="preserve"> is assumed to serve UEs in the rural environment</w:t>
            </w:r>
            <w:r>
              <w:rPr>
                <w:rFonts w:hint="eastAsia" w:ascii="Arial" w:hAnsi="Arial"/>
                <w:sz w:val="18"/>
                <w:lang w:eastAsia="zh-CN"/>
              </w:rPr>
              <w:t>.</w:t>
            </w:r>
          </w:p>
          <w:p>
            <w:pPr>
              <w:keepNext/>
              <w:keepLines/>
              <w:spacing w:after="20"/>
              <w:rPr>
                <w:rFonts w:ascii="Arial" w:hAnsi="Arial"/>
                <w:sz w:val="18"/>
              </w:rPr>
            </w:pPr>
            <w:r>
              <w:rPr>
                <w:rFonts w:ascii="Arial" w:hAnsi="Arial"/>
                <w:sz w:val="18"/>
              </w:rPr>
              <w:t>NOTE 2:</w:t>
            </w:r>
            <w:r>
              <w:rPr>
                <w:rFonts w:ascii="Arial" w:hAnsi="Arial"/>
                <w:sz w:val="18"/>
              </w:rPr>
              <w:tab/>
            </w:r>
            <w:r>
              <w:rPr>
                <w:rFonts w:ascii="Arial" w:hAnsi="Arial"/>
                <w:sz w:val="18"/>
              </w:rPr>
              <w:t>Same as the number of BS beam(s).</w:t>
            </w:r>
          </w:p>
          <w:p>
            <w:pPr>
              <w:keepNext/>
              <w:keepLines/>
              <w:spacing w:after="20"/>
              <w:ind w:left="900" w:hanging="900" w:hangingChars="500"/>
              <w:rPr>
                <w:rFonts w:ascii="Arial" w:hAnsi="Arial"/>
                <w:sz w:val="18"/>
              </w:rPr>
            </w:pPr>
            <w:r>
              <w:rPr>
                <w:rFonts w:ascii="Arial" w:hAnsi="Arial"/>
                <w:sz w:val="18"/>
              </w:rPr>
              <w:t>NOTE 3:</w:t>
            </w:r>
            <w:r>
              <w:rPr>
                <w:rFonts w:ascii="Arial" w:hAnsi="Arial"/>
                <w:sz w:val="18"/>
              </w:rPr>
              <w:tab/>
            </w:r>
            <w:r>
              <w:rPr>
                <w:rFonts w:ascii="Arial" w:hAnsi="Arial"/>
                <w:sz w:val="18"/>
              </w:rPr>
              <w:t>Target SNR for simulation is based on CL values and only compensates pathloss in the simulation assumptions.</w:t>
            </w:r>
          </w:p>
          <w:p>
            <w:pPr>
              <w:keepNext/>
              <w:keepLines/>
              <w:spacing w:after="20"/>
              <w:rPr>
                <w:rFonts w:ascii="Arial" w:hAnsi="Arial"/>
                <w:sz w:val="18"/>
              </w:rPr>
            </w:pPr>
          </w:p>
        </w:tc>
      </w:tr>
    </w:tbl>
    <w:p/>
    <w:p>
      <w:pPr>
        <w:pStyle w:val="5"/>
        <w:keepNext/>
        <w:keepLines/>
        <w:spacing w:before="120"/>
        <w:ind w:left="1418"/>
        <w:outlineLvl w:val="3"/>
      </w:pPr>
      <w:bookmarkStart w:id="134" w:name="_Toc27815"/>
      <w:bookmarkStart w:id="135" w:name="_Toc29485"/>
      <w:bookmarkStart w:id="136" w:name="_Toc28672"/>
      <w:bookmarkStart w:id="137" w:name="_Toc11009"/>
      <w:r>
        <w:rPr>
          <w:rFonts w:hint="eastAsia"/>
        </w:rPr>
        <w:t xml:space="preserve">6.2.2.2 </w:t>
      </w:r>
      <w:r>
        <w:t>ATG UE parameters</w:t>
      </w:r>
      <w:bookmarkEnd w:id="134"/>
      <w:bookmarkEnd w:id="135"/>
      <w:bookmarkEnd w:id="136"/>
      <w:bookmarkEnd w:id="137"/>
    </w:p>
    <w:p>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pPr>
        <w:keepNext/>
        <w:keepLines/>
        <w:spacing w:before="60"/>
        <w:jc w:val="center"/>
        <w:rPr>
          <w:rFonts w:ascii="Arial" w:hAnsi="Arial"/>
          <w:b/>
          <w:lang w:val="en-US" w:eastAsia="zh-CN"/>
        </w:rPr>
      </w:pPr>
      <w:r>
        <w:rPr>
          <w:rFonts w:ascii="Arial" w:hAnsi="Arial"/>
          <w:b/>
        </w:rPr>
        <w:t>Table 6.2.2.</w:t>
      </w:r>
      <w:r>
        <w:rPr>
          <w:rFonts w:hint="eastAsia" w:ascii="Arial" w:hAnsi="Arial"/>
          <w:b/>
          <w:lang w:val="en-US" w:eastAsia="zh-CN"/>
        </w:rPr>
        <w:t>2</w:t>
      </w:r>
      <w:r>
        <w:rPr>
          <w:rFonts w:ascii="Arial" w:hAnsi="Arial"/>
          <w:b/>
        </w:rPr>
        <w:t xml:space="preserve">-1: system parameters for ATG </w:t>
      </w:r>
      <w:r>
        <w:rPr>
          <w:rFonts w:hint="eastAsia" w:ascii="Arial" w:hAnsi="Arial"/>
          <w:b/>
          <w:lang w:val="en-US" w:eastAsia="zh-CN"/>
        </w:rPr>
        <w:t>UE</w:t>
      </w:r>
    </w:p>
    <w:tbl>
      <w:tblPr>
        <w:tblStyle w:val="49"/>
        <w:tblW w:w="59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7"/>
        <w:gridCol w:w="4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hint="eastAsia" w:ascii="Arial" w:hAnsi="Arial" w:cs="SimSun"/>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altitude </w:t>
            </w:r>
          </w:p>
        </w:tc>
        <w:tc>
          <w:tcPr>
            <w:tcW w:w="4900" w:type="dxa"/>
            <w:tcMar>
              <w:top w:w="28" w:type="dxa"/>
              <w:bottom w:w="28" w:type="dxa"/>
            </w:tcMar>
            <w:vAlign w:val="center"/>
          </w:tcPr>
          <w:p>
            <w:pPr>
              <w:keepNext/>
              <w:keepLines/>
              <w:spacing w:before="100" w:beforeAutospacing="1" w:after="100" w:afterAutospacing="1"/>
              <w:rPr>
                <w:rFonts w:ascii="Arial" w:hAnsi="Arial" w:cs="SimSun"/>
                <w:sz w:val="18"/>
                <w:szCs w:val="24"/>
                <w:lang w:eastAsia="zh-CN"/>
              </w:rPr>
            </w:pPr>
            <w:r>
              <w:rPr>
                <w:rFonts w:ascii="Arial" w:hAnsi="Arial"/>
                <w:sz w:val="18"/>
              </w:rPr>
              <w:t>Vertical: Distributed between 3km and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ascii="Arial" w:hAnsi="Arial" w:cs="SimSun"/>
                <w:sz w:val="18"/>
                <w:szCs w:val="24"/>
              </w:rPr>
              <w:t xml:space="preserve">Carrier frequency </w:t>
            </w:r>
          </w:p>
        </w:tc>
        <w:tc>
          <w:tcPr>
            <w:tcW w:w="4900" w:type="dxa"/>
            <w:tcMar>
              <w:top w:w="28" w:type="dxa"/>
              <w:bottom w:w="28" w:type="dxa"/>
            </w:tcMar>
            <w:vAlign w:val="center"/>
          </w:tcPr>
          <w:p>
            <w:pPr>
              <w:keepNext/>
              <w:keepLines/>
              <w:spacing w:before="100" w:beforeAutospacing="1" w:after="100" w:afterAutospacing="1"/>
              <w:rPr>
                <w:rFonts w:ascii="Arial" w:hAnsi="Arial" w:cs="SimSun"/>
                <w:sz w:val="18"/>
                <w:szCs w:val="24"/>
                <w:lang w:eastAsia="zh-CN"/>
              </w:rPr>
            </w:pPr>
            <w:r>
              <w:rPr>
                <w:rFonts w:ascii="Arial" w:hAnsi="Arial" w:cs="SimSun"/>
                <w:sz w:val="18"/>
                <w:szCs w:val="24"/>
              </w:rPr>
              <w:t>2</w:t>
            </w:r>
            <w:r>
              <w:rPr>
                <w:rFonts w:hint="eastAsia" w:ascii="Arial" w:hAnsi="Arial" w:eastAsia="SimSun" w:cs="SimSun"/>
                <w:sz w:val="18"/>
                <w:szCs w:val="24"/>
                <w:lang w:eastAsia="zh-CN"/>
              </w:rPr>
              <w:t>GHz</w:t>
            </w:r>
            <w:r>
              <w:rPr>
                <w:rFonts w:ascii="Arial" w:hAnsi="Arial" w:cs="SimSun"/>
                <w:sz w:val="18"/>
                <w:szCs w:val="24"/>
              </w:rPr>
              <w:t xml:space="preserve">, </w:t>
            </w:r>
            <w:r>
              <w:rPr>
                <w:rFonts w:hint="eastAsia" w:ascii="Arial" w:hAnsi="Arial" w:eastAsia="SimSun" w:cs="SimSun"/>
                <w:sz w:val="18"/>
                <w:szCs w:val="24"/>
                <w:lang w:eastAsia="zh-CN"/>
              </w:rPr>
              <w:t>4</w:t>
            </w:r>
            <w:r>
              <w:rPr>
                <w:rFonts w:ascii="Arial" w:hAnsi="Arial" w:cs="SimSun"/>
                <w:sz w:val="18"/>
                <w:szCs w:val="24"/>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007"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hint="eastAsia" w:ascii="Arial" w:hAnsi="Arial" w:cs="SimSun"/>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max TX power in dBm</w:t>
            </w:r>
          </w:p>
        </w:tc>
        <w:tc>
          <w:tcPr>
            <w:tcW w:w="4900"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ascii="Arial" w:hAnsi="Arial" w:cs="SimSun"/>
                <w:sz w:val="18"/>
                <w:szCs w:val="24"/>
              </w:rPr>
              <w:t>40dBm TRP for 2GHz</w:t>
            </w:r>
          </w:p>
          <w:p>
            <w:pPr>
              <w:keepNext/>
              <w:keepLines/>
              <w:spacing w:before="100" w:beforeAutospacing="1" w:after="100" w:afterAutospacing="1"/>
              <w:rPr>
                <w:rFonts w:ascii="Arial" w:hAnsi="Arial" w:eastAsia="SimSun" w:cs="SimSun"/>
                <w:sz w:val="18"/>
                <w:szCs w:val="24"/>
                <w:lang w:eastAsia="zh-CN"/>
              </w:rPr>
            </w:pPr>
            <w:r>
              <w:rPr>
                <w:rFonts w:ascii="Arial" w:hAnsi="Arial" w:cs="SimSun"/>
                <w:sz w:val="18"/>
                <w:szCs w:val="24"/>
              </w:rPr>
              <w:t>43dBm EIRP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hint="eastAsia" w:ascii="Arial" w:hAnsi="Arial" w:cs="SimSun"/>
                <w:sz w:val="18"/>
                <w:szCs w:val="24"/>
              </w:rPr>
              <w:t xml:space="preserve">ATG </w:t>
            </w:r>
            <w:r>
              <w:rPr>
                <w:rFonts w:ascii="Arial" w:hAnsi="Arial" w:cs="SimSun"/>
                <w:sz w:val="18"/>
                <w:szCs w:val="24"/>
              </w:rPr>
              <w:t>UE min TX power in dBm</w:t>
            </w:r>
          </w:p>
        </w:tc>
        <w:tc>
          <w:tcPr>
            <w:tcW w:w="4900" w:type="dxa"/>
            <w:tcMar>
              <w:top w:w="28" w:type="dxa"/>
              <w:bottom w:w="28" w:type="dxa"/>
            </w:tcMar>
            <w:vAlign w:val="center"/>
          </w:tcPr>
          <w:p>
            <w:r>
              <w:rPr>
                <w:rFonts w:hint="eastAsia"/>
              </w:rPr>
              <w:t>-33dBm for 100MHz</w:t>
            </w:r>
          </w:p>
          <w:p>
            <w:r>
              <w:rPr>
                <w:rFonts w:hint="eastAsia"/>
              </w:rPr>
              <w:t>-40dBm for 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hint="eastAsia" w:ascii="Arial" w:hAnsi="Arial" w:cs="SimSun"/>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noise figure</w:t>
            </w:r>
          </w:p>
        </w:tc>
        <w:tc>
          <w:tcPr>
            <w:tcW w:w="4900" w:type="dxa"/>
            <w:tcMar>
              <w:top w:w="28" w:type="dxa"/>
              <w:bottom w:w="28" w:type="dxa"/>
            </w:tcMar>
            <w:vAlign w:val="center"/>
          </w:tcPr>
          <w:p>
            <w:pPr>
              <w:keepNext/>
              <w:keepLines/>
              <w:spacing w:before="100" w:beforeAutospacing="1" w:after="100" w:afterAutospacing="1"/>
              <w:rPr>
                <w:rFonts w:ascii="Arial" w:hAnsi="Arial" w:cs="SimSun"/>
                <w:sz w:val="18"/>
                <w:szCs w:val="24"/>
              </w:rPr>
            </w:pPr>
            <w:r>
              <w:rPr>
                <w:rFonts w:hint="eastAsia" w:ascii="Arial" w:hAnsi="Arial" w:eastAsia="SimSun" w:cs="SimSun"/>
                <w:sz w:val="18"/>
                <w:szCs w:val="24"/>
                <w:lang w:eastAsia="zh-CN"/>
              </w:rPr>
              <w:t>9dB</w:t>
            </w:r>
          </w:p>
        </w:tc>
      </w:tr>
    </w:tbl>
    <w:p/>
    <w:p>
      <w:pPr>
        <w:pStyle w:val="5"/>
        <w:keepNext/>
        <w:keepLines/>
        <w:spacing w:before="120"/>
        <w:ind w:left="1418"/>
        <w:outlineLvl w:val="3"/>
      </w:pPr>
      <w:bookmarkStart w:id="138" w:name="_Toc8872"/>
      <w:bookmarkStart w:id="139" w:name="_Toc2858"/>
      <w:bookmarkStart w:id="140" w:name="_Toc2489"/>
      <w:bookmarkStart w:id="141" w:name="_Toc2429"/>
      <w:r>
        <w:rPr>
          <w:rFonts w:hint="eastAsia"/>
        </w:rPr>
        <w:t xml:space="preserve">6.2.2.3 </w:t>
      </w:r>
      <w:r>
        <w:t>TN BS and UE parameters</w:t>
      </w:r>
      <w:bookmarkEnd w:id="138"/>
      <w:bookmarkEnd w:id="139"/>
      <w:bookmarkEnd w:id="140"/>
      <w:bookmarkEnd w:id="141"/>
    </w:p>
    <w:p>
      <w:pPr>
        <w:rPr>
          <w:lang w:eastAsia="zh-CN"/>
        </w:rPr>
      </w:pPr>
      <w:r>
        <w:rPr>
          <w:lang w:eastAsia="zh-CN"/>
        </w:rPr>
        <w:t>The system parameters for TN BS and TN UE are assumed as below.</w:t>
      </w:r>
    </w:p>
    <w:p>
      <w:pPr>
        <w:keepNext/>
        <w:keepLines/>
        <w:spacing w:before="60"/>
        <w:jc w:val="center"/>
        <w:rPr>
          <w:rFonts w:ascii="Arial" w:hAnsi="Arial"/>
          <w:b/>
        </w:rPr>
      </w:pPr>
      <w:r>
        <w:rPr>
          <w:rFonts w:ascii="Arial" w:hAnsi="Arial"/>
          <w:b/>
        </w:rPr>
        <w:t>Table 6.2.2.3-1: system parameters for TN BS and UE</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0"/>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b/>
                <w:sz w:val="18"/>
                <w:lang w:eastAsia="ja-JP"/>
              </w:rPr>
            </w:pPr>
            <w:r>
              <w:rPr>
                <w:rFonts w:ascii="Arial" w:hAnsi="Arial" w:eastAsia="MS Mincho"/>
                <w:b/>
                <w:sz w:val="18"/>
              </w:rPr>
              <w:t>Parameters</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SimSun"/>
                <w:b/>
                <w:sz w:val="18"/>
                <w:lang w:eastAsia="zh-CN"/>
              </w:rPr>
            </w:pPr>
            <w:r>
              <w:rPr>
                <w:rFonts w:hint="eastAsia" w:ascii="Arial" w:hAnsi="Arial" w:eastAsia="SimSun"/>
                <w:b/>
                <w:sz w:val="18"/>
                <w:lang w:eastAsia="zh-CN"/>
              </w:rPr>
              <w:t>R</w:t>
            </w:r>
            <w:r>
              <w:rPr>
                <w:rFonts w:ascii="Arial" w:hAnsi="Arial" w:eastAsia="SimSun"/>
                <w:b/>
                <w:sz w:val="18"/>
                <w:lang w:eastAsia="zh-CN"/>
              </w:rPr>
              <w:t>ural</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SimSun"/>
                <w:b/>
                <w:sz w:val="18"/>
                <w:lang w:eastAsia="zh-CN"/>
              </w:rPr>
            </w:pPr>
            <w:r>
              <w:rPr>
                <w:rFonts w:hint="eastAsia" w:ascii="Arial" w:hAnsi="Arial" w:eastAsia="SimSun"/>
                <w:b/>
                <w:sz w:val="18"/>
                <w:lang w:eastAsia="zh-CN"/>
              </w:rPr>
              <w:t>R</w:t>
            </w:r>
            <w:r>
              <w:rPr>
                <w:rFonts w:ascii="Arial" w:hAnsi="Arial" w:eastAsia="SimSun"/>
                <w:b/>
                <w:sz w:val="18"/>
                <w:lang w:eastAsia="zh-CN"/>
              </w:rPr>
              <w:t>ural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Carrier frequency</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bCs/>
                <w:sz w:val="18"/>
                <w:lang w:eastAsia="zh-CN"/>
              </w:rPr>
            </w:pPr>
            <w:r>
              <w:rPr>
                <w:rFonts w:ascii="Arial" w:hAnsi="Arial" w:eastAsia="SimSun"/>
                <w:bCs/>
                <w:sz w:val="18"/>
                <w:lang w:eastAsia="zh-CN"/>
              </w:rPr>
              <w:t>2GHz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ascii="Arial" w:hAnsi="Arial" w:eastAsia="SimSun"/>
                <w:sz w:val="18"/>
                <w:lang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Channel bandwidth</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2</w:t>
            </w:r>
            <w:r>
              <w:rPr>
                <w:rFonts w:ascii="Arial" w:hAnsi="Arial" w:eastAsia="SimSun"/>
                <w:sz w:val="18"/>
                <w:lang w:eastAsia="zh-CN"/>
              </w:rPr>
              <w:t>0MHz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r>
              <w:rPr>
                <w:rFonts w:ascii="Arial" w:hAnsi="Arial" w:eastAsia="SimSun"/>
                <w:sz w:val="18"/>
                <w:lang w:eastAsia="zh-CN"/>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(DL)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(UL)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val="de-DE" w:eastAsia="zh-CN"/>
              </w:rPr>
            </w:pPr>
            <w:r>
              <w:rPr>
                <w:rFonts w:ascii="Arial" w:hAnsi="Arial" w:eastAsia="SimSun"/>
                <w:sz w:val="18"/>
                <w:lang w:val="de-DE"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val="de-DE" w:eastAsia="zh-CN"/>
              </w:rPr>
            </w:pPr>
            <w:r>
              <w:rPr>
                <w:rFonts w:ascii="Arial" w:hAnsi="Arial" w:eastAsia="SimSun"/>
                <w:sz w:val="18"/>
                <w:lang w:val="de-DE"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The number of active UE (DL)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eastAsia="MS Mincho"/>
                <w:sz w:val="18"/>
                <w:lang w:eastAsia="ja-JP"/>
              </w:rPr>
              <w:t>The number of active UE (UL)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f</w:t>
            </w:r>
            <w:r>
              <w:rPr>
                <w:rFonts w:ascii="Arial" w:hAnsi="Arial" w:eastAsia="SimSun"/>
                <w:sz w:val="18"/>
                <w:lang w:eastAsia="zh-CN"/>
              </w:rPr>
              <w:t>ull buffer</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hint="eastAsia" w:ascii="Arial" w:hAnsi="Arial" w:eastAsia="SimSun"/>
                <w:sz w:val="18"/>
                <w:lang w:eastAsia="zh-CN"/>
              </w:rPr>
              <w:t>f</w:t>
            </w:r>
            <w:r>
              <w:rPr>
                <w:rFonts w:ascii="Arial" w:hAnsi="Arial" w:eastAsia="SimSun"/>
                <w:sz w:val="18"/>
                <w:lang w:eastAsia="zh-CN"/>
              </w:rPr>
              <w:t>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DL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N</w:t>
            </w:r>
            <w:r>
              <w:rPr>
                <w:rFonts w:ascii="Arial" w:hAnsi="Arial" w:eastAsia="SimSun"/>
                <w:sz w:val="18"/>
                <w:lang w:eastAsia="zh-CN"/>
              </w:rPr>
              <w:t>o</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N</w:t>
            </w:r>
            <w:r>
              <w:rPr>
                <w:rFonts w:ascii="Arial" w:hAnsi="Arial" w:eastAsia="SimSun"/>
                <w:sz w:val="18"/>
                <w:lang w:eastAsia="zh-CN"/>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sz w:val="18"/>
                <w:lang w:eastAsia="ja-JP"/>
              </w:rPr>
              <w:t>UL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Y</w:t>
            </w:r>
            <w:r>
              <w:rPr>
                <w:rFonts w:ascii="Arial" w:hAnsi="Arial" w:eastAsia="SimSun"/>
                <w:sz w:val="18"/>
                <w:lang w:eastAsia="zh-CN"/>
              </w:rPr>
              <w:t>es</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Y</w:t>
            </w:r>
            <w:r>
              <w:rPr>
                <w:rFonts w:ascii="Arial" w:hAnsi="Arial" w:eastAsia="SimSun"/>
                <w:sz w:val="18"/>
                <w:lang w:eastAsia="zh-CN"/>
              </w:rPr>
              <w: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hint="eastAsia" w:ascii="Arial" w:hAnsi="Arial"/>
                <w:sz w:val="18"/>
                <w:lang w:eastAsia="zh-CN"/>
              </w:rPr>
              <w:t>U</w:t>
            </w:r>
            <w:r>
              <w:rPr>
                <w:rFonts w:ascii="Arial" w:hAnsi="Arial"/>
                <w:sz w:val="18"/>
                <w:lang w:eastAsia="zh-CN"/>
              </w:rPr>
              <w:t>L target SNR (NOTE 3)</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r>
              <w:rPr>
                <w:rFonts w:ascii="Arial" w:hAnsi="Arial" w:eastAsia="SimSun"/>
                <w:sz w:val="18"/>
                <w:lang w:eastAsia="zh-CN"/>
              </w:rPr>
              <w:t>5dB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1</w:t>
            </w:r>
            <w:r>
              <w:rPr>
                <w:rFonts w:ascii="Arial" w:hAnsi="Arial" w:eastAsia="SimSun"/>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3</w:t>
            </w:r>
            <w:r>
              <w:rPr>
                <w:rFonts w:ascii="Arial" w:hAnsi="Arial" w:eastAsia="SimSun"/>
                <w:sz w:val="18"/>
                <w:lang w:eastAsia="zh-CN"/>
              </w:rPr>
              <w:t>5m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3</w:t>
            </w:r>
            <w:r>
              <w:rPr>
                <w:rFonts w:ascii="Arial" w:hAnsi="Arial" w:eastAsia="SimSun"/>
                <w:sz w:val="18"/>
                <w:lang w:eastAsia="zh-CN"/>
              </w:rPr>
              <w:t>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zh-CN"/>
              </w:rPr>
              <w:t>53dBm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max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2</w:t>
            </w:r>
            <w:r>
              <w:rPr>
                <w:rFonts w:ascii="Arial" w:hAnsi="Arial" w:eastAsia="SimSun"/>
                <w:sz w:val="18"/>
                <w:lang w:eastAsia="zh-CN"/>
              </w:rPr>
              <w:t>3dBm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2</w:t>
            </w:r>
            <w:r>
              <w:rPr>
                <w:rFonts w:ascii="Arial" w:hAnsi="Arial" w:eastAsia="SimSun"/>
                <w:sz w:val="18"/>
                <w:lang w:eastAsia="zh-CN"/>
              </w:rPr>
              <w:t>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min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w:t>
            </w:r>
            <w:r>
              <w:rPr>
                <w:rFonts w:ascii="Arial" w:hAnsi="Arial" w:eastAsia="SimSun"/>
                <w:sz w:val="18"/>
                <w:lang w:eastAsia="zh-CN"/>
              </w:rPr>
              <w:t>40dBm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w:t>
            </w:r>
            <w:r>
              <w:rPr>
                <w:rFonts w:ascii="Arial" w:hAnsi="Arial" w:eastAsia="SimSun"/>
                <w:sz w:val="18"/>
                <w:lang w:eastAsia="zh-CN"/>
              </w:rPr>
              <w:t>40dBm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5</w:t>
            </w:r>
            <w:r>
              <w:rPr>
                <w:rFonts w:ascii="Arial" w:hAnsi="Arial" w:eastAsia="SimSun"/>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5</w:t>
            </w:r>
            <w:r>
              <w:rPr>
                <w:rFonts w:ascii="Arial" w:hAnsi="Arial" w:eastAsia="SimSun"/>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9</w:t>
            </w:r>
            <w:r>
              <w:rPr>
                <w:rFonts w:ascii="Arial" w:hAnsi="Arial" w:eastAsia="SimSun"/>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9</w:t>
            </w:r>
            <w:r>
              <w:rPr>
                <w:rFonts w:ascii="Arial" w:hAnsi="Arial" w:eastAsia="SimSun"/>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SimSun"/>
                <w:sz w:val="18"/>
                <w:lang w:eastAsia="zh-CN"/>
              </w:rPr>
            </w:pPr>
            <w:r>
              <w:rPr>
                <w:rFonts w:hint="eastAsia" w:ascii="Arial" w:hAnsi="Arial" w:eastAsia="SimSun"/>
                <w:sz w:val="18"/>
                <w:lang w:eastAsia="zh-CN"/>
              </w:rPr>
              <w:t>3</w:t>
            </w:r>
            <w:r>
              <w:rPr>
                <w:rFonts w:ascii="Arial" w:hAnsi="Arial" w:eastAsia="SimSun"/>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MS Mincho"/>
                <w:sz w:val="18"/>
                <w:lang w:eastAsia="ja-JP"/>
              </w:rPr>
            </w:pPr>
            <w:r>
              <w:rPr>
                <w:rFonts w:hint="eastAsia" w:ascii="Arial" w:hAnsi="Arial" w:eastAsia="SimSun"/>
                <w:sz w:val="18"/>
                <w:lang w:eastAsia="zh-CN"/>
              </w:rPr>
              <w:t>3</w:t>
            </w:r>
            <w:r>
              <w:rPr>
                <w:rFonts w:ascii="Arial" w:hAnsi="Arial" w:eastAsia="SimSun"/>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79"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ind w:left="851" w:hanging="851"/>
              <w:rPr>
                <w:rFonts w:ascii="Arial" w:hAnsi="Arial" w:eastAsia="SimSun"/>
                <w:sz w:val="18"/>
                <w:lang w:val="en-US"/>
              </w:rPr>
            </w:pPr>
            <w:r>
              <w:rPr>
                <w:rFonts w:ascii="Arial" w:hAnsi="Arial" w:eastAsia="MS Mincho"/>
                <w:sz w:val="18"/>
                <w:lang w:eastAsia="ja-JP"/>
              </w:rPr>
              <w:t xml:space="preserve">NOTE 1: </w:t>
            </w:r>
            <w:r>
              <w:rPr>
                <w:rFonts w:ascii="Arial" w:hAnsi="Arial" w:eastAsia="MS Mincho"/>
                <w:sz w:val="18"/>
                <w:lang w:eastAsia="ja-JP"/>
              </w:rPr>
              <w:tab/>
            </w:r>
            <w:r>
              <w:rPr>
                <w:rFonts w:ascii="Arial" w:hAnsi="Arial" w:eastAsia="MS Mincho"/>
                <w:sz w:val="18"/>
                <w:lang w:eastAsia="ja-JP"/>
              </w:rPr>
              <w:t>Same as the number of BS beam(s)</w:t>
            </w:r>
            <w:r>
              <w:rPr>
                <w:rFonts w:ascii="Arial" w:hAnsi="Arial"/>
                <w:sz w:val="18"/>
                <w:lang w:val="en-US"/>
              </w:rPr>
              <w:t>.</w:t>
            </w:r>
          </w:p>
          <w:p>
            <w:pPr>
              <w:keepNext/>
              <w:keepLines/>
              <w:spacing w:after="0"/>
              <w:ind w:left="851" w:hanging="851"/>
              <w:rPr>
                <w:rFonts w:ascii="Arial" w:hAnsi="Arial"/>
                <w:sz w:val="18"/>
                <w:lang w:val="en-US"/>
              </w:rPr>
            </w:pPr>
            <w:r>
              <w:rPr>
                <w:rFonts w:ascii="Arial" w:hAnsi="Arial" w:eastAsia="MS Mincho"/>
                <w:sz w:val="18"/>
                <w:lang w:eastAsia="ja-JP"/>
              </w:rPr>
              <w:t>NOTE 2:</w:t>
            </w:r>
            <w:r>
              <w:rPr>
                <w:rFonts w:ascii="Arial" w:hAnsi="Arial" w:eastAsia="MS Mincho"/>
                <w:sz w:val="18"/>
                <w:lang w:eastAsia="ja-JP"/>
              </w:rPr>
              <w:tab/>
            </w:r>
            <w:r>
              <w:rPr>
                <w:rFonts w:ascii="Arial" w:hAnsi="Arial" w:eastAsia="MS Mincho"/>
                <w:sz w:val="18"/>
                <w:lang w:eastAsia="ja-JP"/>
              </w:rPr>
              <w:t xml:space="preserve">TN </w:t>
            </w:r>
            <w:r>
              <w:rPr>
                <w:rFonts w:ascii="Arial" w:hAnsi="Arial"/>
                <w:sz w:val="18"/>
                <w:lang w:val="en-US"/>
              </w:rPr>
              <w:t>BS max TX power is defined as the sum over both polarizations.</w:t>
            </w:r>
          </w:p>
          <w:p>
            <w:pPr>
              <w:keepNext/>
              <w:keepLines/>
              <w:spacing w:after="0"/>
              <w:ind w:left="851" w:hanging="851"/>
              <w:rPr>
                <w:rFonts w:ascii="Arial" w:hAnsi="Arial"/>
                <w:sz w:val="18"/>
                <w:lang w:val="en-US"/>
              </w:rPr>
            </w:pPr>
            <w:r>
              <w:rPr>
                <w:rFonts w:hint="eastAsia" w:ascii="Arial" w:hAnsi="Arial"/>
                <w:sz w:val="18"/>
                <w:lang w:val="en-US" w:eastAsia="zh-CN"/>
              </w:rPr>
              <w:t>N</w:t>
            </w:r>
            <w:r>
              <w:rPr>
                <w:rFonts w:ascii="Arial" w:hAnsi="Arial"/>
                <w:sz w:val="18"/>
                <w:lang w:val="en-US" w:eastAsia="zh-CN"/>
              </w:rPr>
              <w:t>OTE 3:  Target SNR for simulation is based on CL values and only compensates pathloss in the simulation assumptions.</w:t>
            </w:r>
          </w:p>
          <w:p>
            <w:pPr>
              <w:keepNext/>
              <w:keepLines/>
              <w:spacing w:after="0"/>
              <w:rPr>
                <w:rFonts w:ascii="Arial" w:hAnsi="Arial" w:eastAsia="SimSun"/>
                <w:sz w:val="18"/>
                <w:lang w:val="en-US" w:eastAsia="zh-CN"/>
              </w:rPr>
            </w:pPr>
          </w:p>
        </w:tc>
      </w:tr>
    </w:tbl>
    <w:p/>
    <w:p>
      <w:pPr>
        <w:pStyle w:val="4"/>
      </w:pPr>
      <w:bookmarkStart w:id="142" w:name="_Toc14280"/>
      <w:bookmarkStart w:id="143" w:name="_Toc2633"/>
      <w:bookmarkStart w:id="144" w:name="_Toc133498125"/>
      <w:bookmarkStart w:id="145" w:name="_Toc15115"/>
      <w:bookmarkStart w:id="146" w:name="_Toc27387"/>
      <w:bookmarkStart w:id="147" w:name="_Toc23226"/>
      <w:r>
        <w:rPr>
          <w:rFonts w:hint="eastAsia"/>
          <w:lang w:eastAsia="zh-CN"/>
        </w:rPr>
        <w:t xml:space="preserve">6.2.3 </w:t>
      </w:r>
      <w:r>
        <w:t>Antenna and beamforming pattern modelling</w:t>
      </w:r>
      <w:bookmarkEnd w:id="142"/>
      <w:bookmarkEnd w:id="143"/>
      <w:bookmarkEnd w:id="144"/>
      <w:bookmarkEnd w:id="145"/>
      <w:bookmarkEnd w:id="146"/>
      <w:bookmarkEnd w:id="147"/>
    </w:p>
    <w:p>
      <w:pPr>
        <w:pStyle w:val="5"/>
      </w:pPr>
      <w:bookmarkStart w:id="148" w:name="_Toc133498126"/>
      <w:bookmarkStart w:id="149" w:name="_Toc21327"/>
      <w:bookmarkStart w:id="150" w:name="_Toc21167"/>
      <w:bookmarkStart w:id="151" w:name="_Toc26278"/>
      <w:bookmarkStart w:id="152" w:name="_Toc9111"/>
      <w:bookmarkStart w:id="153" w:name="_Toc16217"/>
      <w:r>
        <w:rPr>
          <w:rFonts w:hint="eastAsia"/>
        </w:rPr>
        <w:t xml:space="preserve">6.2.3.1 </w:t>
      </w:r>
      <w:r>
        <w:t>ATG BS antenna model</w:t>
      </w:r>
      <w:bookmarkEnd w:id="148"/>
      <w:bookmarkEnd w:id="149"/>
      <w:bookmarkEnd w:id="150"/>
      <w:bookmarkEnd w:id="151"/>
      <w:bookmarkEnd w:id="152"/>
      <w:bookmarkEnd w:id="153"/>
    </w:p>
    <w:p>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6"/>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0"/>
        <w:gridCol w:w="5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4" w:type="pct"/>
            <w:tcBorders>
              <w:top w:val="single" w:color="auto" w:sz="4" w:space="0"/>
              <w:left w:val="single" w:color="auto" w:sz="4" w:space="0"/>
              <w:bottom w:val="single" w:color="auto" w:sz="4" w:space="0"/>
              <w:right w:val="single" w:color="auto" w:sz="4" w:space="0"/>
            </w:tcBorders>
            <w:vAlign w:val="center"/>
          </w:tcPr>
          <w:p>
            <w:pPr>
              <w:pStyle w:val="67"/>
            </w:pP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8"/>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Antenna pattern</w:t>
            </w:r>
          </w:p>
        </w:tc>
        <w:tc>
          <w:tcPr>
            <w:tcW w:w="2685" w:type="pct"/>
            <w:tcBorders>
              <w:top w:val="single" w:color="auto" w:sz="4" w:space="0"/>
              <w:left w:val="single" w:color="auto" w:sz="4" w:space="0"/>
              <w:bottom w:val="single" w:color="auto" w:sz="4" w:space="0"/>
              <w:right w:val="single" w:color="auto" w:sz="4" w:space="0"/>
            </w:tcBorders>
          </w:tcPr>
          <w:p>
            <w:pPr>
              <w:pStyle w:val="68"/>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Element gain (dBi)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w:t>
            </w:r>
          </w:p>
        </w:tc>
        <w:tc>
          <w:tcPr>
            <w:tcW w:w="2685" w:type="pct"/>
            <w:tcBorders>
              <w:top w:val="single" w:color="auto" w:sz="4" w:space="0"/>
              <w:left w:val="single" w:color="auto" w:sz="4" w:space="0"/>
              <w:bottom w:val="single" w:color="auto" w:sz="4" w:space="0"/>
            </w:tcBorders>
            <w:vAlign w:val="center"/>
          </w:tcPr>
          <w:p>
            <w:pPr>
              <w:pStyle w:val="68"/>
              <w:rPr>
                <w:rFonts w:eastAsia="SimSun"/>
                <w:lang w:eastAsia="zh-CN"/>
              </w:rPr>
            </w:pPr>
            <w:r>
              <w:t>8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rPr>
                <w:rFonts w:cs="Arial"/>
              </w:rPr>
              <w:t xml:space="preserve">Number of supported polarizations, </w:t>
            </w:r>
            <w:r>
              <w:rPr>
                <w:rFonts w:ascii="Cambria Math" w:hAnsi="Cambria Math"/>
                <w:i/>
              </w:rPr>
              <w:t>P</w:t>
            </w:r>
          </w:p>
        </w:tc>
        <w:tc>
          <w:tcPr>
            <w:tcW w:w="2685" w:type="pct"/>
            <w:tcBorders>
              <w:top w:val="single" w:color="auto" w:sz="4" w:space="0"/>
              <w:left w:val="single" w:color="auto" w:sz="4" w:space="0"/>
              <w:bottom w:val="single" w:color="auto" w:sz="4" w:space="0"/>
            </w:tcBorders>
            <w:vAlign w:val="center"/>
          </w:tcPr>
          <w:p>
            <w:pPr>
              <w:pStyle w:val="68"/>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Array Ohmic loss (dB)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Conducted power (before Ohmic loss) per antenna element (dBm) </w:t>
            </w:r>
            <w:r>
              <w:rPr>
                <w:vertAlign w:val="superscript"/>
              </w:rPr>
              <w:t xml:space="preserve">(Note </w:t>
            </w:r>
            <w:r>
              <w:rPr>
                <w:rFonts w:hint="eastAsia" w:eastAsia="SimSun"/>
                <w:vertAlign w:val="superscript"/>
                <w:lang w:val="en-US" w:eastAsia="zh-CN"/>
              </w:rPr>
              <w:t>1</w:t>
            </w:r>
            <w:r>
              <w:rPr>
                <w:vertAlign w:val="superscript"/>
              </w:rPr>
              <w:t>)</w:t>
            </w:r>
            <w:r>
              <w:t xml:space="preserv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SimSun"/>
                <w:lang w:val="en-US" w:eastAsia="zh-CN"/>
              </w:rPr>
            </w:pPr>
            <w:r>
              <w:t>25</w:t>
            </w:r>
            <w:r>
              <w:rPr>
                <w:rFonts w:hint="eastAsia" w:eastAsia="SimSun"/>
                <w:lang w:val="en-US" w:eastAsia="zh-CN"/>
              </w:rPr>
              <w:t xml:space="preserve"> for 2GHz</w:t>
            </w:r>
          </w:p>
          <w:p>
            <w:pPr>
              <w:pStyle w:val="68"/>
              <w:rPr>
                <w:rFonts w:hint="default" w:eastAsia="SimSun"/>
                <w:lang w:val="en-US" w:eastAsia="zh-CN"/>
              </w:rPr>
            </w:pPr>
            <w:r>
              <w:rPr>
                <w:rFonts w:hint="eastAsia" w:eastAsia="SimSun"/>
                <w:lang w:val="en-US" w:eastAsia="zh-CN"/>
              </w:rPr>
              <w:t>32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Base station maximum coverage angle in the horizontal plane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Base station vertical coverage range (degrees) </w:t>
            </w:r>
            <w:r>
              <w:rPr>
                <w:vertAlign w:val="superscript"/>
              </w:rPr>
              <w:t xml:space="preserve">(Note </w:t>
            </w:r>
            <w:r>
              <w:rPr>
                <w:rFonts w:hint="eastAsia" w:eastAsia="SimSun"/>
                <w:vertAlign w:val="superscript"/>
                <w:lang w:val="en-US" w:eastAsia="zh-CN"/>
              </w:rPr>
              <w:t>2</w:t>
            </w:r>
            <w:r>
              <w:rPr>
                <w:vertAlign w:val="superscript"/>
              </w:rPr>
              <w:t>)</w:t>
            </w:r>
          </w:p>
        </w:tc>
        <w:tc>
          <w:tcPr>
            <w:tcW w:w="2685" w:type="pct"/>
            <w:tcBorders>
              <w:top w:val="single" w:color="auto" w:sz="4" w:space="0"/>
              <w:left w:val="single" w:color="auto" w:sz="4" w:space="0"/>
              <w:bottom w:val="single" w:color="auto" w:sz="4" w:space="0"/>
              <w:right w:val="single" w:color="auto" w:sz="4" w:space="0"/>
            </w:tcBorders>
          </w:tcPr>
          <w:p>
            <w:pPr>
              <w:pStyle w:val="68"/>
              <w:rPr>
                <w:rFonts w:eastAsia="SimSun"/>
                <w:lang w:eastAsia="zh-CN"/>
              </w:rPr>
            </w:pPr>
            <w:r>
              <w:rPr>
                <w:rFonts w:hint="eastAsia" w:eastAsia="SimSun"/>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Mechanical uptilt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rPr>
                <w:rFonts w:hint="eastAsia" w:eastAsia="SimSun"/>
                <w:lang w:eastAsia="zh-CN"/>
              </w:rPr>
              <w:t xml:space="preserve">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SimSun"/>
                <w:lang w:val="en-US" w:eastAsia="zh-CN"/>
              </w:rPr>
              <w:t xml:space="preserve">Note 1: </w:t>
            </w:r>
            <w:r>
              <w:t xml:space="preserve">The conducted power per element assumes </w:t>
            </w:r>
            <w:r>
              <w:rPr>
                <w:rFonts w:hint="eastAsia" w:eastAsia="SimSun"/>
                <w:lang w:val="en-US" w:eastAsia="zh-CN"/>
              </w:rPr>
              <w:t>8</w:t>
            </w:r>
            <w:r>
              <w:t>x8x2 elements (i.e. power per H/V polarized element).</w:t>
            </w:r>
          </w:p>
          <w:p>
            <w:pPr>
              <w:pStyle w:val="81"/>
              <w:rPr>
                <w:rFonts w:hint="default" w:eastAsia="SimSun"/>
                <w:lang w:val="en-US" w:eastAsia="zh-CN"/>
              </w:rPr>
            </w:pPr>
            <w:r>
              <w:rPr>
                <w:rFonts w:hint="eastAsia" w:eastAsia="SimSun"/>
                <w:lang w:val="en-US" w:eastAsia="zh-CN"/>
              </w:rPr>
              <w:t xml:space="preserve">Note 2: </w:t>
            </w:r>
            <w:r>
              <w:t>The vertical coverage range includes the mechanical downtilt.</w:t>
            </w:r>
          </w:p>
        </w:tc>
      </w:tr>
    </w:tbl>
    <w:p>
      <w:pPr>
        <w:rPr>
          <w:b/>
          <w:bCs/>
          <w:u w:val="single"/>
          <w:lang w:eastAsia="zh-CN"/>
        </w:rPr>
      </w:pPr>
    </w:p>
    <w:p>
      <w:pPr>
        <w:rPr>
          <w:b/>
          <w:lang w:eastAsia="zh-CN"/>
        </w:rPr>
      </w:pPr>
      <w:r>
        <w:rPr>
          <w:rFonts w:hint="eastAsia"/>
          <w:b/>
          <w:lang w:eastAsia="zh-CN"/>
        </w:rPr>
        <w:t>Option 2: sub-array model</w:t>
      </w:r>
    </w:p>
    <w:p>
      <w:pPr>
        <w:pStyle w:val="76"/>
        <w:rPr>
          <w:lang w:eastAsia="zh-CN"/>
        </w:rPr>
      </w:pPr>
      <w:r>
        <w:t>Table 6.2.</w:t>
      </w:r>
      <w:r>
        <w:rPr>
          <w:lang w:val="en-US" w:eastAsia="zh-CN"/>
        </w:rPr>
        <w:t>3</w:t>
      </w:r>
      <w:r>
        <w:t>.</w:t>
      </w:r>
      <w:r>
        <w:rPr>
          <w:lang w:val="en-US" w:eastAsia="zh-CN"/>
        </w:rPr>
        <w:t>1</w:t>
      </w:r>
      <w:r>
        <w:t>-</w:t>
      </w:r>
      <w:r>
        <w:rPr>
          <w:rFonts w:hint="eastAsia" w:eastAsia="SimSun"/>
          <w:lang w:val="en-US" w:eastAsia="zh-CN"/>
        </w:rPr>
        <w:t>2</w:t>
      </w:r>
      <w:r>
        <w:t>: AAS antenna parameters</w:t>
      </w:r>
      <w:r>
        <w:rPr>
          <w:lang w:val="en-US" w:eastAsia="zh-CN"/>
        </w:rPr>
        <w:t xml:space="preserve"> for sub-array model</w:t>
      </w:r>
    </w:p>
    <w:tbl>
      <w:tblPr>
        <w:tblStyle w:val="4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8"/>
        <w:gridCol w:w="6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7"/>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Element gain </w:t>
            </w:r>
            <w:r>
              <w:rPr>
                <w:lang w:eastAsia="zh-CN"/>
              </w:rPr>
              <w:t>(dBi)</w:t>
            </w:r>
          </w:p>
        </w:tc>
        <w:tc>
          <w:tcPr>
            <w:tcW w:w="3351" w:type="pct"/>
            <w:tcBorders>
              <w:top w:val="single" w:color="auto" w:sz="4" w:space="0"/>
              <w:left w:val="single" w:color="auto" w:sz="4" w:space="0"/>
              <w:bottom w:val="single" w:color="auto" w:sz="4" w:space="0"/>
              <w:right w:val="single" w:color="auto" w:sz="4" w:space="0"/>
            </w:tcBorders>
          </w:tcPr>
          <w:p>
            <w:pPr>
              <w:pStyle w:val="68"/>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Antenna sub-array configuration (Row × Column)</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t>4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rPr>
                <w:lang w:eastAsia="ko-KR"/>
              </w:rPr>
              <w:t xml:space="preserve">Array Ohmic loss (dB)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hint="eastAsia" w:eastAsia="SimSun"/>
                <w:vertAlign w:val="superscript"/>
                <w:lang w:val="en-US" w:eastAsia="zh-CN"/>
              </w:rPr>
              <w:t>1</w:t>
            </w:r>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SimSun"/>
                <w:lang w:val="en-US" w:eastAsia="zh-CN"/>
              </w:rPr>
            </w:pPr>
            <w:r>
              <w:t>28</w:t>
            </w:r>
            <w:r>
              <w:rPr>
                <w:rFonts w:hint="eastAsia" w:eastAsia="SimSun"/>
                <w:lang w:val="en-US" w:eastAsia="zh-CN"/>
              </w:rPr>
              <w:t xml:space="preserve"> for 2GHz</w:t>
            </w:r>
          </w:p>
          <w:p>
            <w:pPr>
              <w:pStyle w:val="68"/>
              <w:rPr>
                <w:rFonts w:hint="eastAsia" w:eastAsia="SimSun"/>
                <w:lang w:val="en-US" w:eastAsia="zh-CN"/>
              </w:rPr>
            </w:pPr>
            <w:r>
              <w:rPr>
                <w:rFonts w:hint="eastAsia" w:eastAsia="SimSun"/>
                <w:lang w:val="en-US" w:eastAsia="zh-CN"/>
              </w:rPr>
              <w:t>35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Base station vertical coverage range (degrees) </w:t>
            </w:r>
            <w:r>
              <w:rPr>
                <w:vertAlign w:val="superscript"/>
                <w:lang w:eastAsia="ko-KR"/>
              </w:rPr>
              <w:t xml:space="preserve">(Note </w:t>
            </w:r>
            <w:r>
              <w:rPr>
                <w:rFonts w:hint="eastAsia" w:eastAsia="SimSun"/>
                <w:vertAlign w:val="superscript"/>
                <w:lang w:val="en-US" w:eastAsia="zh-CN"/>
              </w:rPr>
              <w:t>2</w:t>
            </w:r>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SimSun"/>
                <w:lang w:eastAsia="ko-KR"/>
              </w:rPr>
            </w:pPr>
            <w:r>
              <w:rPr>
                <w:rFonts w:hint="eastAsia" w:eastAsia="SimSun"/>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SimSun"/>
                <w:lang w:eastAsia="ko-KR"/>
              </w:rPr>
            </w:pPr>
            <w:r>
              <w:rPr>
                <w:rFonts w:hint="eastAsia" w:eastAsia="SimSun"/>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SimSun"/>
                <w:lang w:val="en-US" w:eastAsia="zh-CN"/>
              </w:rPr>
              <w:t xml:space="preserve">Note 1: </w:t>
            </w:r>
            <w:r>
              <w:t xml:space="preserve">The conducted power per </w:t>
            </w:r>
            <w:r>
              <w:rPr>
                <w:rFonts w:hint="eastAsia" w:eastAsia="SimSun"/>
                <w:lang w:val="en-US" w:eastAsia="zh-CN"/>
              </w:rPr>
              <w:t>sub-array</w:t>
            </w:r>
            <w:r>
              <w:t xml:space="preserve"> assumes </w:t>
            </w:r>
            <w:r>
              <w:rPr>
                <w:rFonts w:hint="eastAsia" w:eastAsia="SimSun"/>
                <w:lang w:val="en-US" w:eastAsia="zh-CN"/>
              </w:rPr>
              <w:t>4</w:t>
            </w:r>
            <w:r>
              <w:t xml:space="preserve">x8x2 </w:t>
            </w:r>
            <w:r>
              <w:rPr>
                <w:rFonts w:hint="eastAsia" w:eastAsia="SimSun"/>
                <w:lang w:val="en-US" w:eastAsia="zh-CN"/>
              </w:rPr>
              <w:t>sub-arrays</w:t>
            </w:r>
            <w:r>
              <w:t xml:space="preserve"> (i.e. power per H/V polarized </w:t>
            </w:r>
            <w:r>
              <w:rPr>
                <w:rFonts w:hint="eastAsia" w:eastAsia="SimSun"/>
                <w:lang w:val="en-US" w:eastAsia="zh-CN"/>
              </w:rPr>
              <w:t>sub-array</w:t>
            </w:r>
            <w:r>
              <w:t>).</w:t>
            </w:r>
          </w:p>
          <w:p>
            <w:pPr>
              <w:pStyle w:val="68"/>
              <w:jc w:val="left"/>
              <w:rPr>
                <w:rFonts w:hint="eastAsia" w:eastAsia="SimSun"/>
                <w:lang w:val="en-US" w:eastAsia="zh-CN"/>
              </w:rPr>
            </w:pPr>
            <w:r>
              <w:rPr>
                <w:rFonts w:hint="eastAsia" w:eastAsia="SimSun"/>
                <w:lang w:val="en-US" w:eastAsia="zh-CN"/>
              </w:rPr>
              <w:t xml:space="preserve">Note 2: </w:t>
            </w:r>
            <w:r>
              <w:t>The vertical coverage range includes the mechanical downtilt.</w:t>
            </w:r>
          </w:p>
        </w:tc>
      </w:tr>
    </w:tbl>
    <w:p/>
    <w:p>
      <w:pPr>
        <w:pStyle w:val="5"/>
      </w:pPr>
      <w:bookmarkStart w:id="154" w:name="_Toc25156"/>
      <w:bookmarkStart w:id="155" w:name="_Toc16148"/>
      <w:bookmarkStart w:id="156" w:name="_Toc29500"/>
      <w:bookmarkStart w:id="157" w:name="_Toc133498127"/>
      <w:bookmarkStart w:id="158" w:name="_Toc2512"/>
      <w:bookmarkStart w:id="159" w:name="_Toc28632"/>
      <w:r>
        <w:rPr>
          <w:rFonts w:hint="eastAsia"/>
        </w:rPr>
        <w:t xml:space="preserve">6.2.3.2 </w:t>
      </w:r>
      <w:r>
        <w:t>ATG UE antenna model</w:t>
      </w:r>
      <w:bookmarkEnd w:id="154"/>
      <w:bookmarkEnd w:id="155"/>
      <w:bookmarkEnd w:id="156"/>
      <w:bookmarkEnd w:id="157"/>
      <w:bookmarkEnd w:id="158"/>
      <w:bookmarkEnd w:id="159"/>
    </w:p>
    <w:p>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pPr>
        <w:pStyle w:val="74"/>
        <w:rPr>
          <w:lang w:eastAsia="zh-CN"/>
        </w:rPr>
      </w:pPr>
      <w:r>
        <w:rPr>
          <w:lang w:eastAsia="zh-CN"/>
        </w:rPr>
        <w:t>-</w:t>
      </w:r>
      <w:r>
        <w:rPr>
          <w:lang w:eastAsia="zh-CN"/>
        </w:rPr>
        <w:tab/>
      </w:r>
      <w:r>
        <w:rPr>
          <w:lang w:eastAsia="zh-CN"/>
        </w:rPr>
        <w:t xml:space="preserve">Use </w:t>
      </w:r>
      <w:r>
        <w:rPr>
          <w:rFonts w:hint="eastAsia"/>
          <w:lang w:eastAsia="zh-CN"/>
        </w:rPr>
        <w:t xml:space="preserve">following </w:t>
      </w:r>
      <w:r>
        <w:rPr>
          <w:lang w:eastAsia="zh-CN"/>
        </w:rPr>
        <w:t>as the starting point for calibration.</w:t>
      </w:r>
    </w:p>
    <w:p>
      <w:pPr>
        <w:pStyle w:val="76"/>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Style w:val="4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4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rPr>
                <w:lang w:val="en-US" w:eastAsia="zh-CN"/>
              </w:rPr>
            </w:pPr>
            <w:r>
              <w:t>90º for V</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Element gain (dBi)</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rPr>
                <w:lang w:val="en-US" w:eastAsia="zh-CN"/>
              </w:rPr>
            </w:pPr>
            <w:r>
              <w:rPr>
                <w:rFonts w:hint="eastAsia"/>
                <w:lang w:val="en-US" w:eastAsia="zh-CN"/>
              </w:rPr>
              <w:t>30dBc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Linear ±</w:t>
            </w:r>
            <w:r>
              <w:rPr>
                <w:rFonts w:hint="eastAsia"/>
                <w:lang w:val="en-US" w:eastAsia="zh-CN"/>
              </w:rPr>
              <w:t>90</w:t>
            </w:r>
            <w: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x Polarization) </w:t>
            </w:r>
          </w:p>
        </w:tc>
        <w:tc>
          <w:tcPr>
            <w:tcW w:w="2284" w:type="pct"/>
            <w:tcBorders>
              <w:top w:val="single" w:color="auto" w:sz="4" w:space="0"/>
              <w:left w:val="single" w:color="auto" w:sz="4" w:space="0"/>
              <w:bottom w:val="single" w:color="auto" w:sz="4" w:space="0"/>
            </w:tcBorders>
            <w:vAlign w:val="center"/>
          </w:tcPr>
          <w:p>
            <w:pPr>
              <w:pStyle w:val="68"/>
              <w:rPr>
                <w:lang w:val="en-US" w:eastAsia="zh-CN"/>
              </w:rPr>
            </w:pPr>
            <w:r>
              <w:rPr>
                <w:rFonts w:hint="eastAsia"/>
                <w:lang w:val="en-US" w:eastAsia="zh-CN"/>
              </w:rPr>
              <w:t xml:space="preserve"> (8x2x2) or  </w:t>
            </w:r>
          </w:p>
          <w:p>
            <w:pPr>
              <w:pStyle w:val="68"/>
              <w:rPr>
                <w:lang w:val="en-US" w:eastAsia="zh-CN"/>
              </w:rPr>
            </w:pPr>
            <w:r>
              <w:rPr>
                <w:rFonts w:hint="eastAsia"/>
                <w:lang w:val="en-US" w:eastAsia="zh-CN"/>
              </w:rPr>
              <w:t xml:space="preserve">(16x1x2)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w:t>
            </w:r>
            <w:r>
              <w:rPr>
                <w:rFonts w:hint="eastAsia"/>
                <w:lang w:val="en-US" w:eastAsia="zh-CN"/>
              </w:rPr>
              <w:t>5</w:t>
            </w:r>
            <w:r>
              <w:t xml:space="preserve">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UE antenna orientation</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Single UE panel deployed on the abdomen of the airplane facing downwards and with the longest dimension of the array aligned with the direction of the flight route. The flight route is pointed at the BS.</w:t>
            </w:r>
          </w:p>
        </w:tc>
      </w:tr>
    </w:tbl>
    <w:p/>
    <w:p>
      <w:pPr>
        <w:pStyle w:val="5"/>
      </w:pPr>
      <w:bookmarkStart w:id="160" w:name="_Toc26078"/>
      <w:bookmarkStart w:id="161" w:name="_Toc133498128"/>
      <w:bookmarkStart w:id="162" w:name="_Toc16464"/>
      <w:bookmarkStart w:id="163" w:name="_Toc9355"/>
      <w:bookmarkStart w:id="164" w:name="_Toc24925"/>
      <w:bookmarkStart w:id="165" w:name="_Toc17039"/>
      <w:r>
        <w:rPr>
          <w:rFonts w:hint="eastAsia"/>
        </w:rPr>
        <w:t xml:space="preserve">6.2.3.3 </w:t>
      </w:r>
      <w:r>
        <w:t>TN BS antenna model</w:t>
      </w:r>
      <w:bookmarkEnd w:id="160"/>
      <w:bookmarkEnd w:id="161"/>
      <w:bookmarkEnd w:id="162"/>
      <w:bookmarkEnd w:id="163"/>
      <w:bookmarkEnd w:id="164"/>
      <w:bookmarkEnd w:id="165"/>
    </w:p>
    <w:p>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6"/>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2"/>
        <w:gridCol w:w="5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5" w:type="pct"/>
            <w:tcBorders>
              <w:top w:val="single" w:color="auto" w:sz="4" w:space="0"/>
              <w:left w:val="single" w:color="auto" w:sz="4" w:space="0"/>
              <w:bottom w:val="single" w:color="auto" w:sz="4" w:space="0"/>
              <w:right w:val="single" w:color="auto" w:sz="4" w:space="0"/>
            </w:tcBorders>
            <w:vAlign w:val="center"/>
          </w:tcPr>
          <w:p>
            <w:pPr>
              <w:pStyle w:val="67"/>
            </w:pPr>
          </w:p>
        </w:tc>
        <w:tc>
          <w:tcPr>
            <w:tcW w:w="2684"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rPr>
                <w:lang w:val="en-US"/>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8"/>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Antenna pattern</w:t>
            </w:r>
          </w:p>
        </w:tc>
        <w:tc>
          <w:tcPr>
            <w:tcW w:w="2684" w:type="pct"/>
            <w:tcBorders>
              <w:top w:val="single" w:color="auto" w:sz="4" w:space="0"/>
              <w:left w:val="single" w:color="auto" w:sz="4" w:space="0"/>
              <w:bottom w:val="single" w:color="auto" w:sz="4" w:space="0"/>
              <w:right w:val="single" w:color="auto" w:sz="4" w:space="0"/>
            </w:tcBorders>
          </w:tcPr>
          <w:p>
            <w:pPr>
              <w:pStyle w:val="68"/>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Element gain (dBi)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w:t>
            </w:r>
          </w:p>
        </w:tc>
        <w:tc>
          <w:tcPr>
            <w:tcW w:w="2684" w:type="pct"/>
            <w:tcBorders>
              <w:top w:val="single" w:color="auto" w:sz="4" w:space="0"/>
              <w:left w:val="single" w:color="auto" w:sz="4" w:space="0"/>
              <w:bottom w:val="single" w:color="auto" w:sz="4" w:space="0"/>
            </w:tcBorders>
            <w:vAlign w:val="center"/>
          </w:tcPr>
          <w:p>
            <w:pPr>
              <w:pStyle w:val="68"/>
              <w:rPr>
                <w:lang w:val="en-US"/>
              </w:rPr>
            </w:pPr>
            <w:r>
              <w:t>8 × 8 elements</w:t>
            </w:r>
            <w:r>
              <w:rPr>
                <w:lang w:val="en-US"/>
              </w:rPr>
              <w:t xml:space="preserve"> AAS</w:t>
            </w:r>
          </w:p>
          <w:p>
            <w:pPr>
              <w:pStyle w:val="68"/>
              <w:rPr>
                <w:rFonts w:eastAsia="SimSun"/>
                <w:lang w:val="en-US" w:eastAsia="zh-CN"/>
              </w:rPr>
            </w:pPr>
            <w:r>
              <w:rPr>
                <w:rFonts w:hint="eastAsia" w:eastAsia="SimSun"/>
                <w:lang w:val="en-US" w:eastAsia="zh-CN"/>
              </w:rPr>
              <w:t xml:space="preserve">Optional: </w:t>
            </w:r>
            <w:r>
              <w:rPr>
                <w:lang w:val="en-US"/>
              </w:rPr>
              <w:t>8 x 1 elements non 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rPr>
                <w:rFonts w:cs="Arial"/>
              </w:rPr>
              <w:t xml:space="preserve">Number of supported polarizations, </w:t>
            </w:r>
            <w:r>
              <w:rPr>
                <w:rFonts w:ascii="Cambria Math" w:hAnsi="Cambria Math"/>
                <w:i/>
              </w:rPr>
              <w:t>P</w:t>
            </w:r>
          </w:p>
        </w:tc>
        <w:tc>
          <w:tcPr>
            <w:tcW w:w="2684" w:type="pct"/>
            <w:tcBorders>
              <w:top w:val="single" w:color="auto" w:sz="4" w:space="0"/>
              <w:left w:val="single" w:color="auto" w:sz="4" w:space="0"/>
              <w:bottom w:val="single" w:color="auto" w:sz="4" w:space="0"/>
            </w:tcBorders>
            <w:vAlign w:val="center"/>
          </w:tcPr>
          <w:p>
            <w:pPr>
              <w:pStyle w:val="68"/>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Array Ohmic loss (dB)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Conducted power (before Ohmic loss) per antenna element (dBm) </w:t>
            </w:r>
            <w:r>
              <w:rPr>
                <w:vertAlign w:val="superscript"/>
              </w:rPr>
              <w:t xml:space="preserve">(Note </w:t>
            </w:r>
            <w:r>
              <w:rPr>
                <w:rFonts w:hint="eastAsia" w:eastAsia="SimSun"/>
                <w:vertAlign w:val="superscript"/>
                <w:lang w:val="en-US" w:eastAsia="zh-CN"/>
              </w:rPr>
              <w:t>1</w:t>
            </w:r>
            <w:r>
              <w:rPr>
                <w:vertAlign w:val="superscript"/>
              </w:rPr>
              <w:t>)</w:t>
            </w:r>
            <w:r>
              <w:t xml:space="preserv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SimSun"/>
                <w:lang w:val="en-US" w:eastAsia="zh-CN"/>
              </w:rPr>
            </w:pPr>
            <w:r>
              <w:t>25</w:t>
            </w:r>
            <w:r>
              <w:rPr>
                <w:rFonts w:hint="eastAsia" w:eastAsia="SimSun"/>
                <w:lang w:val="en-US" w:eastAsia="zh-CN"/>
              </w:rPr>
              <w:t xml:space="preserve"> for 2GHz</w:t>
            </w:r>
          </w:p>
          <w:p>
            <w:pPr>
              <w:pStyle w:val="68"/>
              <w:rPr>
                <w:rFonts w:hint="eastAsia" w:eastAsia="SimSun"/>
                <w:lang w:val="en-US" w:eastAsia="zh-CN"/>
              </w:rPr>
            </w:pPr>
            <w:r>
              <w:rPr>
                <w:rFonts w:hint="eastAsia" w:eastAsia="SimSun"/>
                <w:lang w:val="en-US" w:eastAsia="zh-CN"/>
              </w:rPr>
              <w:t>32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Base station maximum coverage angle in the horizontal plane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Base station vertical coverage range (degrees) </w:t>
            </w:r>
            <w:r>
              <w:rPr>
                <w:vertAlign w:val="superscript"/>
              </w:rPr>
              <w:t xml:space="preserve">(Note </w:t>
            </w:r>
            <w:r>
              <w:rPr>
                <w:rFonts w:hint="eastAsia" w:eastAsia="SimSun"/>
                <w:vertAlign w:val="superscript"/>
                <w:lang w:val="en-US" w:eastAsia="zh-CN"/>
              </w:rPr>
              <w:t>2</w:t>
            </w:r>
            <w:r>
              <w:rPr>
                <w:vertAlign w:val="superscript"/>
              </w:rPr>
              <w:t>)</w:t>
            </w:r>
          </w:p>
        </w:tc>
        <w:tc>
          <w:tcPr>
            <w:tcW w:w="2684" w:type="pct"/>
            <w:tcBorders>
              <w:top w:val="single" w:color="auto" w:sz="4" w:space="0"/>
              <w:left w:val="single" w:color="auto" w:sz="4" w:space="0"/>
              <w:bottom w:val="single" w:color="auto" w:sz="4" w:space="0"/>
              <w:right w:val="single" w:color="auto" w:sz="4" w:space="0"/>
            </w:tcBorders>
          </w:tcPr>
          <w:p>
            <w:pPr>
              <w:pStyle w:val="68"/>
              <w:rPr>
                <w:rFonts w:eastAsia="SimSun"/>
                <w:lang w:eastAsia="zh-CN"/>
              </w:rPr>
            </w:pPr>
            <w:r>
              <w:rPr>
                <w:rFonts w:hint="eastAsia" w:eastAsia="SimSun"/>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Mechanical </w:t>
            </w:r>
            <w:r>
              <w:rPr>
                <w:lang w:val="en-US"/>
              </w:rPr>
              <w:t>down</w:t>
            </w:r>
            <w:r>
              <w:t xml:space="preserv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SimSun"/>
                <w:lang w:val="en-US" w:eastAsia="zh-CN"/>
              </w:rPr>
              <w:t xml:space="preserve">Note 1: </w:t>
            </w:r>
            <w:r>
              <w:t xml:space="preserve">The conducted power per element assumes </w:t>
            </w:r>
            <w:r>
              <w:rPr>
                <w:rFonts w:hint="eastAsia" w:eastAsia="SimSun"/>
                <w:lang w:val="en-US" w:eastAsia="zh-CN"/>
              </w:rPr>
              <w:t>8</w:t>
            </w:r>
            <w:r>
              <w:t>x8x2 elements (i.e. power per H/V polarized element).</w:t>
            </w:r>
          </w:p>
          <w:p>
            <w:pPr>
              <w:pStyle w:val="68"/>
              <w:jc w:val="left"/>
              <w:rPr>
                <w:lang w:val="en-US"/>
              </w:rPr>
            </w:pPr>
            <w:r>
              <w:rPr>
                <w:rFonts w:hint="eastAsia" w:eastAsia="SimSun"/>
                <w:lang w:val="en-US" w:eastAsia="zh-CN"/>
              </w:rPr>
              <w:t xml:space="preserve">Note 2: </w:t>
            </w:r>
            <w:r>
              <w:t>The vertical coverage range includes the mechanical downtilt.</w:t>
            </w:r>
          </w:p>
        </w:tc>
      </w:tr>
    </w:tbl>
    <w:p>
      <w:pPr>
        <w:rPr>
          <w:b/>
          <w:bCs/>
          <w:u w:val="single"/>
          <w:lang w:eastAsia="zh-CN"/>
        </w:rPr>
      </w:pPr>
    </w:p>
    <w:p>
      <w:pPr>
        <w:rPr>
          <w:b/>
          <w:lang w:eastAsia="zh-CN"/>
        </w:rPr>
      </w:pPr>
      <w:r>
        <w:rPr>
          <w:rFonts w:hint="eastAsia"/>
          <w:b/>
          <w:lang w:eastAsia="zh-CN"/>
        </w:rPr>
        <w:t>Option 2: sub-array model</w:t>
      </w:r>
    </w:p>
    <w:p>
      <w:pPr>
        <w:pStyle w:val="76"/>
        <w:rPr>
          <w:lang w:eastAsia="zh-CN"/>
        </w:rPr>
      </w:pPr>
      <w:r>
        <w:t>Table 6.2.</w:t>
      </w:r>
      <w:r>
        <w:rPr>
          <w:lang w:val="en-US" w:eastAsia="zh-CN"/>
        </w:rPr>
        <w:t>3</w:t>
      </w:r>
      <w:r>
        <w:t>.</w:t>
      </w:r>
      <w:r>
        <w:rPr>
          <w:lang w:val="en-US" w:eastAsia="zh-CN"/>
        </w:rPr>
        <w:t>3</w:t>
      </w:r>
      <w:r>
        <w:t>-</w:t>
      </w:r>
      <w:r>
        <w:rPr>
          <w:rFonts w:hint="eastAsia" w:eastAsia="SimSun"/>
          <w:lang w:val="en-US" w:eastAsia="zh-CN"/>
        </w:rPr>
        <w:t>2</w:t>
      </w:r>
      <w:r>
        <w:t xml:space="preserve">: </w:t>
      </w:r>
      <w:r>
        <w:rPr>
          <w:lang w:val="en-US"/>
        </w:rPr>
        <w:t>A</w:t>
      </w:r>
      <w:r>
        <w:t>ntenna parameters</w:t>
      </w:r>
      <w:r>
        <w:rPr>
          <w:lang w:val="en-US" w:eastAsia="zh-CN"/>
        </w:rPr>
        <w:t xml:space="preserve"> for sub-array model</w:t>
      </w:r>
    </w:p>
    <w:tbl>
      <w:tblPr>
        <w:tblStyle w:val="4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8"/>
        <w:gridCol w:w="6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7"/>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Element gain </w:t>
            </w:r>
            <w:r>
              <w:rPr>
                <w:lang w:eastAsia="zh-CN"/>
              </w:rPr>
              <w:t xml:space="preserve">(dBi) </w:t>
            </w:r>
          </w:p>
        </w:tc>
        <w:tc>
          <w:tcPr>
            <w:tcW w:w="3351" w:type="pct"/>
            <w:tcBorders>
              <w:top w:val="single" w:color="auto" w:sz="4" w:space="0"/>
              <w:left w:val="single" w:color="auto" w:sz="4" w:space="0"/>
              <w:bottom w:val="single" w:color="auto" w:sz="4" w:space="0"/>
              <w:right w:val="single" w:color="auto" w:sz="4" w:space="0"/>
            </w:tcBorders>
          </w:tcPr>
          <w:p>
            <w:pPr>
              <w:pStyle w:val="68"/>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Antenna sub-array configuration (Row × Column)</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lang w:val="en-US"/>
              </w:rPr>
            </w:pPr>
            <w:r>
              <w:t>4 × 8 elements</w:t>
            </w:r>
            <w:r>
              <w:rPr>
                <w:lang w:val="en-US"/>
              </w:rPr>
              <w:t xml:space="preserve"> AAS</w:t>
            </w:r>
          </w:p>
          <w:p>
            <w:pPr>
              <w:pStyle w:val="68"/>
              <w:rPr>
                <w:rFonts w:eastAsia="Calibri"/>
                <w:lang w:val="en-US" w:eastAsia="ko-KR"/>
              </w:rPr>
            </w:pPr>
            <w:r>
              <w:rPr>
                <w:rFonts w:hint="eastAsia" w:eastAsia="SimSun"/>
                <w:lang w:val="en-US" w:eastAsia="zh-CN"/>
              </w:rPr>
              <w:t xml:space="preserve">Optional: </w:t>
            </w:r>
            <w:r>
              <w:rPr>
                <w:lang w:val="en-US"/>
              </w:rPr>
              <w:t>4x1 elements non-AAS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rPr>
                <w:lang w:eastAsia="ko-KR"/>
              </w:rPr>
              <w:t xml:space="preserve">Array Ohmic loss (dB)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hint="eastAsia" w:eastAsia="SimSun"/>
                <w:vertAlign w:val="superscript"/>
                <w:lang w:val="en-US" w:eastAsia="zh-CN"/>
              </w:rPr>
              <w:t>1</w:t>
            </w:r>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SimSun"/>
                <w:lang w:val="en-US" w:eastAsia="zh-CN"/>
              </w:rPr>
            </w:pPr>
            <w:r>
              <w:t>28</w:t>
            </w:r>
            <w:r>
              <w:rPr>
                <w:rFonts w:hint="eastAsia" w:eastAsia="SimSun"/>
                <w:lang w:val="en-US" w:eastAsia="zh-CN"/>
              </w:rPr>
              <w:t xml:space="preserve"> for 2GHz</w:t>
            </w:r>
          </w:p>
          <w:p>
            <w:pPr>
              <w:pStyle w:val="68"/>
              <w:rPr>
                <w:rFonts w:hint="default" w:eastAsia="SimSun"/>
                <w:lang w:val="en-US" w:eastAsia="zh-CN"/>
              </w:rPr>
            </w:pPr>
            <w:r>
              <w:rPr>
                <w:rFonts w:hint="eastAsia" w:eastAsia="SimSun"/>
                <w:lang w:val="en-US" w:eastAsia="zh-CN"/>
              </w:rPr>
              <w:t>35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Base station vertical coverage range (degrees) </w:t>
            </w:r>
            <w:r>
              <w:rPr>
                <w:vertAlign w:val="superscript"/>
                <w:lang w:eastAsia="ko-KR"/>
              </w:rPr>
              <w:t xml:space="preserve">(Note </w:t>
            </w:r>
            <w:r>
              <w:rPr>
                <w:rFonts w:hint="eastAsia" w:eastAsia="SimSun"/>
                <w:vertAlign w:val="superscript"/>
                <w:lang w:val="en-US" w:eastAsia="zh-CN"/>
              </w:rPr>
              <w:t>2</w:t>
            </w:r>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SimSun"/>
                <w:lang w:eastAsia="ko-KR"/>
              </w:rPr>
            </w:pPr>
            <w:r>
              <w:rPr>
                <w:rFonts w:hint="eastAsia" w:eastAsia="SimSun"/>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SimSun"/>
                <w:lang w:eastAsia="ko-KR"/>
              </w:rPr>
            </w:pPr>
            <w:r>
              <w:rPr>
                <w:rFonts w:eastAsia="SimSun"/>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SimSun"/>
                <w:lang w:val="en-US" w:eastAsia="zh-CN"/>
              </w:rPr>
              <w:t xml:space="preserve">Note 1: </w:t>
            </w:r>
            <w:r>
              <w:t xml:space="preserve">The conducted power per </w:t>
            </w:r>
            <w:r>
              <w:rPr>
                <w:rFonts w:hint="eastAsia" w:eastAsia="SimSun"/>
                <w:lang w:val="en-US" w:eastAsia="zh-CN"/>
              </w:rPr>
              <w:t>sub-array</w:t>
            </w:r>
            <w:r>
              <w:t xml:space="preserve"> assumes </w:t>
            </w:r>
            <w:r>
              <w:rPr>
                <w:rFonts w:hint="eastAsia" w:eastAsia="SimSun"/>
                <w:lang w:val="en-US" w:eastAsia="zh-CN"/>
              </w:rPr>
              <w:t>4</w:t>
            </w:r>
            <w:r>
              <w:t xml:space="preserve">x8x2 </w:t>
            </w:r>
            <w:r>
              <w:rPr>
                <w:rFonts w:hint="eastAsia" w:eastAsia="SimSun"/>
                <w:lang w:val="en-US" w:eastAsia="zh-CN"/>
              </w:rPr>
              <w:t>sub-arrays</w:t>
            </w:r>
            <w:r>
              <w:t xml:space="preserve"> (i.e. power per H/V polarized </w:t>
            </w:r>
            <w:r>
              <w:rPr>
                <w:rFonts w:hint="eastAsia" w:eastAsia="SimSun"/>
                <w:lang w:val="en-US" w:eastAsia="zh-CN"/>
              </w:rPr>
              <w:t>sub-array</w:t>
            </w:r>
            <w:r>
              <w:t>).</w:t>
            </w:r>
          </w:p>
          <w:p>
            <w:pPr>
              <w:pStyle w:val="68"/>
              <w:jc w:val="left"/>
              <w:rPr>
                <w:rFonts w:eastAsia="SimSun"/>
                <w:lang w:eastAsia="ko-KR"/>
              </w:rPr>
            </w:pPr>
            <w:r>
              <w:rPr>
                <w:rFonts w:hint="eastAsia" w:eastAsia="SimSun"/>
                <w:lang w:val="en-US" w:eastAsia="zh-CN"/>
              </w:rPr>
              <w:t xml:space="preserve">Note 2: </w:t>
            </w:r>
            <w:r>
              <w:t>The vertical coverage range includes the mechanical downtilt.</w:t>
            </w:r>
          </w:p>
        </w:tc>
      </w:tr>
    </w:tbl>
    <w:p/>
    <w:p>
      <w:pPr>
        <w:pStyle w:val="5"/>
      </w:pPr>
      <w:bookmarkStart w:id="166" w:name="_Toc133498129"/>
      <w:bookmarkStart w:id="167" w:name="_Toc9984"/>
      <w:bookmarkStart w:id="168" w:name="_Toc11898"/>
      <w:bookmarkStart w:id="169" w:name="_Toc18184"/>
      <w:bookmarkStart w:id="170" w:name="_Toc15842"/>
      <w:bookmarkStart w:id="171" w:name="_Toc31836"/>
      <w:r>
        <w:rPr>
          <w:rFonts w:hint="eastAsia"/>
        </w:rPr>
        <w:t>6</w:t>
      </w:r>
      <w:r>
        <w:t>.</w:t>
      </w:r>
      <w:r>
        <w:rPr>
          <w:rFonts w:hint="eastAsia"/>
        </w:rPr>
        <w:t>2</w:t>
      </w:r>
      <w:r>
        <w:t>.</w:t>
      </w:r>
      <w:r>
        <w:rPr>
          <w:rFonts w:hint="eastAsia"/>
        </w:rPr>
        <w:t>3</w:t>
      </w:r>
      <w:r>
        <w:t>.</w:t>
      </w:r>
      <w:r>
        <w:rPr>
          <w:rFonts w:hint="eastAsia"/>
        </w:rPr>
        <w:t xml:space="preserve">4 </w:t>
      </w:r>
      <w:r>
        <w:t>TN UE antenna model</w:t>
      </w:r>
      <w:bookmarkEnd w:id="166"/>
      <w:bookmarkEnd w:id="167"/>
      <w:bookmarkEnd w:id="168"/>
      <w:bookmarkEnd w:id="169"/>
      <w:bookmarkEnd w:id="170"/>
      <w:bookmarkEnd w:id="171"/>
    </w:p>
    <w:p>
      <w:pPr>
        <w:rPr>
          <w:lang w:eastAsia="zh-CN"/>
        </w:rPr>
      </w:pPr>
      <w:r>
        <w:rPr>
          <w:lang w:eastAsia="zh-CN"/>
        </w:rPr>
        <w:t>The following assumption for TN UE antenna is shown as below.</w:t>
      </w:r>
    </w:p>
    <w:p>
      <w:pPr>
        <w:pStyle w:val="76"/>
      </w:pPr>
      <w:r>
        <w:t>Table 6.2.3.4-1: TN handheld UE antenna charateristic</w:t>
      </w:r>
    </w:p>
    <w:tbl>
      <w:tblPr>
        <w:tblStyle w:val="49"/>
        <w:tblW w:w="44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8"/>
        <w:gridCol w:w="4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7"/>
              <w:rPr>
                <w:lang w:eastAsia="ja-JP"/>
              </w:rPr>
            </w:pPr>
            <w:r>
              <w:t>Characteristics</w:t>
            </w:r>
          </w:p>
        </w:tc>
        <w:tc>
          <w:tcPr>
            <w:tcW w:w="2833" w:type="pct"/>
            <w:tcBorders>
              <w:top w:val="single" w:color="auto" w:sz="4" w:space="0"/>
              <w:left w:val="single" w:color="auto" w:sz="4" w:space="0"/>
              <w:bottom w:val="single" w:color="auto" w:sz="4" w:space="0"/>
              <w:right w:val="single" w:color="auto" w:sz="4" w:space="0"/>
            </w:tcBorders>
          </w:tcPr>
          <w:p>
            <w:pPr>
              <w:pStyle w:val="67"/>
            </w:pPr>
            <w:r>
              <w:t>Handheld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Antenna type and configuration</w:t>
            </w:r>
          </w:p>
        </w:tc>
        <w:tc>
          <w:tcPr>
            <w:tcW w:w="2833" w:type="pct"/>
            <w:tcBorders>
              <w:top w:val="single" w:color="auto" w:sz="4" w:space="0"/>
              <w:left w:val="single" w:color="auto" w:sz="4" w:space="0"/>
              <w:bottom w:val="single" w:color="auto" w:sz="4" w:space="0"/>
              <w:right w:val="single" w:color="auto" w:sz="4" w:space="0"/>
            </w:tcBorders>
          </w:tcPr>
          <w:p>
            <w:pPr>
              <w:pStyle w:val="66"/>
            </w:pPr>
            <w:r>
              <w:rPr>
                <w:rFonts w:hint="eastAsia" w:eastAsia="SimSun"/>
                <w:lang w:val="en-US" w:eastAsia="zh-CN"/>
              </w:rPr>
              <w:t>1</w:t>
            </w:r>
            <w:r>
              <w:t xml:space="preserve"> omni-directional antenna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Polarisation</w:t>
            </w:r>
          </w:p>
        </w:tc>
        <w:tc>
          <w:tcPr>
            <w:tcW w:w="2833" w:type="pct"/>
            <w:tcBorders>
              <w:top w:val="single" w:color="auto" w:sz="4" w:space="0"/>
              <w:left w:val="single" w:color="auto" w:sz="4" w:space="0"/>
              <w:bottom w:val="single" w:color="auto" w:sz="4" w:space="0"/>
              <w:right w:val="single" w:color="auto" w:sz="4" w:space="0"/>
            </w:tcBorders>
          </w:tcPr>
          <w:p>
            <w:pPr>
              <w:pStyle w:val="66"/>
              <w:rPr>
                <w:rFonts w:hint="default" w:eastAsia="SimSun"/>
                <w:lang w:val="en-US" w:eastAsia="zh-CN"/>
              </w:rPr>
            </w:pPr>
            <w:r>
              <w:rPr>
                <w:rFonts w:hint="eastAsia" w:eastAsia="SimSun"/>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 xml:space="preserve">Tx/Rx Antenna gain </w:t>
            </w:r>
          </w:p>
        </w:tc>
        <w:tc>
          <w:tcPr>
            <w:tcW w:w="2833" w:type="pct"/>
            <w:tcBorders>
              <w:top w:val="single" w:color="auto" w:sz="4" w:space="0"/>
              <w:left w:val="single" w:color="auto" w:sz="4" w:space="0"/>
              <w:bottom w:val="single" w:color="auto" w:sz="4" w:space="0"/>
              <w:right w:val="single" w:color="auto" w:sz="4" w:space="0"/>
            </w:tcBorders>
          </w:tcPr>
          <w:p>
            <w:pPr>
              <w:pStyle w:val="66"/>
            </w:pPr>
            <w:r>
              <w:t>0 dBi per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the number of Tx and Rx</w:t>
            </w:r>
          </w:p>
        </w:tc>
        <w:tc>
          <w:tcPr>
            <w:tcW w:w="2833"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1T2R</w:t>
            </w:r>
          </w:p>
        </w:tc>
      </w:tr>
    </w:tbl>
    <w:p/>
    <w:p>
      <w:pPr>
        <w:pStyle w:val="4"/>
      </w:pPr>
      <w:bookmarkStart w:id="172" w:name="_Toc21924"/>
      <w:bookmarkStart w:id="173" w:name="_Toc133498130"/>
      <w:bookmarkStart w:id="174" w:name="_Toc6876"/>
      <w:bookmarkStart w:id="175" w:name="_Toc20594"/>
      <w:bookmarkStart w:id="176" w:name="_Toc8727"/>
      <w:bookmarkStart w:id="177" w:name="_Toc31969"/>
      <w:r>
        <w:rPr>
          <w:rFonts w:hint="eastAsia"/>
          <w:lang w:eastAsia="zh-CN"/>
        </w:rPr>
        <w:t xml:space="preserve">6.2.4 </w:t>
      </w:r>
      <w:r>
        <w:t>ACLR and ACS modelling</w:t>
      </w:r>
      <w:bookmarkEnd w:id="172"/>
      <w:bookmarkEnd w:id="173"/>
      <w:bookmarkEnd w:id="174"/>
      <w:bookmarkEnd w:id="175"/>
      <w:bookmarkEnd w:id="176"/>
      <w:bookmarkEnd w:id="177"/>
    </w:p>
    <w:p>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pPr>
        <w:rPr>
          <w:rFonts w:eastAsia="MS Mincho"/>
        </w:rPr>
      </w:pPr>
      <w:r>
        <w:rPr>
          <w:rFonts w:eastAsia="MS Mincho"/>
        </w:rPr>
        <w:t>If this assumption is for DL, then the similar assumption could be made for the UL.</w:t>
      </w:r>
    </w:p>
    <w:p>
      <w:pPr>
        <w:rPr>
          <w:rFonts w:eastAsia="MS Mincho"/>
        </w:rPr>
      </w:pPr>
      <w:r>
        <w:rPr>
          <w:rFonts w:eastAsia="MS Mincho"/>
        </w:rPr>
        <w:t>Therefore, it is assumed that both ACLR ( or the adjacent channel interference) and ACS are flat in both space and frequency. The ACIR model can be express as:</w:t>
      </w:r>
    </w:p>
    <w:p>
      <w:pPr>
        <w:pStyle w:val="58"/>
        <w:rPr>
          <w:rFonts w:eastAsia="MS Mincho"/>
        </w:rPr>
      </w:pPr>
      <w:r>
        <w:rPr>
          <w:rFonts w:eastAsia="MS Mincho"/>
        </w:rPr>
        <w:object>
          <v:shape id="_x0000_i1028" o:spt="75" type="#_x0000_t75" style="height:44pt;width:116pt;" o:ole="t" filled="f" o:preferrelative="t" stroked="f" coordsize="21600,21600">
            <v:path/>
            <v:fill on="f" focussize="0,0"/>
            <v:stroke on="f" joinstyle="miter"/>
            <v:imagedata r:id="rId20" o:title=""/>
            <o:lock v:ext="edit" aspectratio="t"/>
            <w10:wrap type="none"/>
            <w10:anchorlock/>
          </v:shape>
          <o:OLEObject Type="Embed" ProgID="Equation.3" ShapeID="_x0000_i1028" DrawAspect="Content" ObjectID="_1468075727" r:id="rId19">
            <o:LockedField>false</o:LockedField>
          </o:OLEObject>
        </w:object>
      </w:r>
    </w:p>
    <w:p>
      <w:pPr>
        <w:rPr>
          <w:rFonts w:eastAsia="MS Mincho"/>
        </w:rPr>
      </w:pPr>
      <w:r>
        <w:rPr>
          <w:rFonts w:eastAsia="MS Mincho"/>
        </w:rPr>
        <w:t>(Assuming ACLR, ACS and ACIR to be linear).</w:t>
      </w:r>
    </w:p>
    <w:p>
      <w:pPr>
        <w:rPr>
          <w:rFonts w:eastAsiaTheme="minorEastAsia"/>
          <w:lang w:eastAsia="zh-CN"/>
        </w:rPr>
      </w:pPr>
      <w:r>
        <w:rPr>
          <w:rFonts w:eastAsiaTheme="minorEastAsia"/>
          <w:lang w:eastAsia="zh-CN"/>
        </w:rPr>
        <w:t>The ACLR/ACS requirements for TN are defined as below.</w:t>
      </w:r>
    </w:p>
    <w:p>
      <w:pPr>
        <w:pStyle w:val="76"/>
      </w:pPr>
      <w:r>
        <w:t>Table 6.2.4-1: ACLR/ACS requirements for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38" w:type="dxa"/>
            <w:gridSpan w:val="3"/>
          </w:tcPr>
          <w:p>
            <w:pPr>
              <w:keepNext/>
              <w:keepLines/>
              <w:jc w:val="center"/>
              <w:rPr>
                <w:rFonts w:ascii="Arial" w:hAnsi="Arial"/>
                <w:b/>
                <w:bCs/>
                <w:sz w:val="18"/>
                <w:szCs w:val="18"/>
                <w:lang w:eastAsia="ja-JP"/>
              </w:rPr>
            </w:pPr>
            <w:r>
              <w:rPr>
                <w:rFonts w:hint="eastAsia" w:ascii="Arial" w:hAnsi="Arial"/>
                <w:b/>
                <w:bCs/>
                <w:sz w:val="18"/>
                <w:szCs w:val="18"/>
                <w:lang w:eastAsia="ja-JP"/>
              </w:rPr>
              <w:t>NR</w:t>
            </w:r>
            <w:r>
              <w:rPr>
                <w:rFonts w:ascii="Arial" w:hAnsi="Arial"/>
                <w:b/>
                <w:bCs/>
                <w:sz w:val="18"/>
                <w:szCs w:val="18"/>
                <w:lang w:eastAsia="ja-JP"/>
              </w:rPr>
              <w:t xml:space="preserve"> TN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BS</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UE</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30dB (ACLR1)</w:t>
            </w:r>
          </w:p>
          <w:p>
            <w:pPr>
              <w:keepNext/>
              <w:keepLines/>
              <w:snapToGrid w:val="0"/>
              <w:jc w:val="center"/>
              <w:rPr>
                <w:rFonts w:ascii="Arial" w:hAnsi="Arial"/>
                <w:sz w:val="18"/>
              </w:rPr>
            </w:pPr>
            <w:r>
              <w:rPr>
                <w:rFonts w:ascii="Arial" w:hAnsi="Arial"/>
                <w:sz w:val="18"/>
              </w:rPr>
              <w:t>43dB (ACLR2)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33</w:t>
            </w:r>
          </w:p>
        </w:tc>
      </w:tr>
    </w:tbl>
    <w:p/>
    <w:p>
      <w:pPr>
        <w:pStyle w:val="4"/>
        <w:rPr>
          <w:lang w:eastAsia="zh-CN"/>
        </w:rPr>
      </w:pPr>
      <w:bookmarkStart w:id="178" w:name="_Toc21103"/>
      <w:bookmarkStart w:id="179" w:name="_Toc11874"/>
      <w:bookmarkStart w:id="180" w:name="_Toc7478"/>
      <w:bookmarkStart w:id="181" w:name="_Toc133498131"/>
      <w:bookmarkStart w:id="182" w:name="_Toc26176"/>
      <w:bookmarkStart w:id="183" w:name="_Toc18384"/>
      <w:r>
        <w:rPr>
          <w:rFonts w:hint="eastAsia"/>
          <w:lang w:eastAsia="zh-CN"/>
        </w:rPr>
        <w:t xml:space="preserve">6.2.5 </w:t>
      </w:r>
      <w:r>
        <w:rPr>
          <w:lang w:eastAsia="zh-CN"/>
        </w:rPr>
        <w:t>Propagation model</w:t>
      </w:r>
      <w:bookmarkEnd w:id="178"/>
      <w:bookmarkEnd w:id="179"/>
      <w:bookmarkEnd w:id="180"/>
      <w:bookmarkEnd w:id="181"/>
      <w:bookmarkEnd w:id="182"/>
      <w:bookmarkEnd w:id="183"/>
    </w:p>
    <w:p>
      <w:pPr>
        <w:pStyle w:val="5"/>
      </w:pPr>
      <w:bookmarkStart w:id="184" w:name="_Toc133498132"/>
      <w:bookmarkStart w:id="185" w:name="_Toc24743"/>
      <w:bookmarkStart w:id="186" w:name="_Toc6462"/>
      <w:bookmarkStart w:id="187" w:name="_Toc20019"/>
      <w:bookmarkStart w:id="188" w:name="_Toc11211"/>
      <w:bookmarkStart w:id="189" w:name="_Toc1165"/>
      <w:r>
        <w:rPr>
          <w:rFonts w:hint="eastAsia"/>
        </w:rPr>
        <w:t xml:space="preserve">6.2.5.1 </w:t>
      </w:r>
      <w:r>
        <w:t>Propagation model between TN UE and ATG UE</w:t>
      </w:r>
      <w:bookmarkEnd w:id="184"/>
      <w:bookmarkEnd w:id="185"/>
      <w:bookmarkEnd w:id="186"/>
      <w:bookmarkEnd w:id="187"/>
      <w:bookmarkEnd w:id="188"/>
      <w:bookmarkEnd w:id="189"/>
    </w:p>
    <w:p>
      <w:pPr>
        <w:rPr>
          <w:lang w:eastAsia="zh-CN"/>
        </w:rPr>
      </w:pPr>
      <w:r>
        <w:rPr>
          <w:lang w:eastAsia="zh-CN"/>
        </w:rPr>
        <w:t>Referring to section 6.6 in TR 38.811, the propagation model between TN UE and ATG UE can be simplified and summarized as below.</w:t>
      </w:r>
    </w:p>
    <w:p>
      <w:pPr>
        <w:rPr>
          <w:b/>
        </w:rPr>
      </w:pPr>
      <w:r>
        <w:rPr>
          <w:b/>
        </w:rPr>
        <w:t>LOS probability</w:t>
      </w:r>
    </w:p>
    <w:p>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pPr>
        <w:pStyle w:val="76"/>
        <w:spacing w:before="240"/>
        <w:rPr>
          <w:lang w:eastAsia="ko-KR"/>
        </w:rPr>
      </w:pPr>
      <w:r>
        <w:t>Table 6.2.5.1-1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bottom w:val="single" w:color="auto" w:sz="4" w:space="0"/>
              <w:right w:val="single" w:color="auto" w:sz="4" w:space="0"/>
            </w:tcBorders>
            <w:shd w:val="clear" w:color="auto" w:fill="auto"/>
            <w:tcMar>
              <w:top w:w="11" w:type="dxa"/>
              <w:bottom w:w="11" w:type="dxa"/>
            </w:tcMar>
            <w:vAlign w:val="center"/>
          </w:tcPr>
          <w:p>
            <w:pPr>
              <w:pStyle w:val="68"/>
            </w:pPr>
            <w:r>
              <w:t>Elevation</w:t>
            </w:r>
          </w:p>
        </w:tc>
        <w:tc>
          <w:tcPr>
            <w:tcW w:w="2155" w:type="dxa"/>
            <w:tcBorders>
              <w:bottom w:val="single" w:color="auto" w:sz="4" w:space="0"/>
            </w:tcBorders>
            <w:shd w:val="clear" w:color="auto" w:fill="auto"/>
            <w:tcMar>
              <w:top w:w="11" w:type="dxa"/>
              <w:bottom w:w="11" w:type="dxa"/>
            </w:tcMar>
          </w:tcPr>
          <w:p>
            <w:pPr>
              <w:pStyle w:val="68"/>
            </w:pPr>
            <w:r>
              <w:t>Suburban and Rural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top w:val="single" w:color="auto" w:sz="4" w:space="0"/>
              <w:right w:val="single" w:color="auto" w:sz="4" w:space="0"/>
            </w:tcBorders>
            <w:shd w:val="clear" w:color="auto" w:fill="auto"/>
            <w:tcMar>
              <w:top w:w="11" w:type="dxa"/>
              <w:bottom w:w="11" w:type="dxa"/>
            </w:tcMar>
            <w:vAlign w:val="center"/>
          </w:tcPr>
          <w:p>
            <w:pPr>
              <w:pStyle w:val="68"/>
            </w:pPr>
            <w:r>
              <w:t>10°</w:t>
            </w:r>
          </w:p>
        </w:tc>
        <w:tc>
          <w:tcPr>
            <w:tcW w:w="2155" w:type="dxa"/>
            <w:tcBorders>
              <w:top w:val="single" w:color="auto" w:sz="4" w:space="0"/>
            </w:tcBorders>
            <w:shd w:val="clear" w:color="auto" w:fill="auto"/>
            <w:tcMar>
              <w:top w:w="11" w:type="dxa"/>
              <w:bottom w:w="11" w:type="dxa"/>
            </w:tcMar>
          </w:tcPr>
          <w:p>
            <w:pPr>
              <w:pStyle w:val="68"/>
            </w:pPr>
            <w: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20°</w:t>
            </w:r>
          </w:p>
        </w:tc>
        <w:tc>
          <w:tcPr>
            <w:tcW w:w="2155" w:type="dxa"/>
            <w:shd w:val="clear" w:color="auto" w:fill="auto"/>
            <w:tcMar>
              <w:top w:w="11" w:type="dxa"/>
              <w:bottom w:w="11" w:type="dxa"/>
            </w:tcMar>
          </w:tcPr>
          <w:p>
            <w:pPr>
              <w:pStyle w:val="68"/>
            </w:pPr>
            <w: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30°</w:t>
            </w:r>
          </w:p>
        </w:tc>
        <w:tc>
          <w:tcPr>
            <w:tcW w:w="2155" w:type="dxa"/>
            <w:shd w:val="clear" w:color="auto" w:fill="auto"/>
            <w:tcMar>
              <w:top w:w="11" w:type="dxa"/>
              <w:bottom w:w="11" w:type="dxa"/>
            </w:tcMar>
          </w:tcPr>
          <w:p>
            <w:pPr>
              <w:pStyle w:val="68"/>
            </w:pPr>
            <w:r>
              <w:t>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40°</w:t>
            </w:r>
          </w:p>
        </w:tc>
        <w:tc>
          <w:tcPr>
            <w:tcW w:w="2155" w:type="dxa"/>
            <w:shd w:val="clear" w:color="auto" w:fill="auto"/>
            <w:tcMar>
              <w:top w:w="11" w:type="dxa"/>
              <w:bottom w:w="11" w:type="dxa"/>
            </w:tcMar>
          </w:tcPr>
          <w:p>
            <w:pPr>
              <w:pStyle w:val="68"/>
            </w:pPr>
            <w:r>
              <w:t>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50°</w:t>
            </w:r>
          </w:p>
        </w:tc>
        <w:tc>
          <w:tcPr>
            <w:tcW w:w="2155" w:type="dxa"/>
            <w:shd w:val="clear" w:color="auto" w:fill="auto"/>
            <w:tcMar>
              <w:top w:w="11" w:type="dxa"/>
              <w:bottom w:w="11" w:type="dxa"/>
            </w:tcMar>
          </w:tcPr>
          <w:p>
            <w:pPr>
              <w:pStyle w:val="68"/>
            </w:pPr>
            <w: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60°</w:t>
            </w:r>
          </w:p>
        </w:tc>
        <w:tc>
          <w:tcPr>
            <w:tcW w:w="2155" w:type="dxa"/>
            <w:shd w:val="clear" w:color="auto" w:fill="auto"/>
            <w:tcMar>
              <w:top w:w="11" w:type="dxa"/>
              <w:bottom w:w="11" w:type="dxa"/>
            </w:tcMar>
          </w:tcPr>
          <w:p>
            <w:pPr>
              <w:pStyle w:val="68"/>
            </w:pPr>
            <w: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70°</w:t>
            </w:r>
          </w:p>
        </w:tc>
        <w:tc>
          <w:tcPr>
            <w:tcW w:w="2155" w:type="dxa"/>
            <w:shd w:val="clear" w:color="auto" w:fill="auto"/>
            <w:tcMar>
              <w:top w:w="11" w:type="dxa"/>
              <w:bottom w:w="11" w:type="dxa"/>
            </w:tcMar>
          </w:tcPr>
          <w:p>
            <w:pPr>
              <w:pStyle w:val="68"/>
            </w:pPr>
            <w: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80°</w:t>
            </w:r>
          </w:p>
        </w:tc>
        <w:tc>
          <w:tcPr>
            <w:tcW w:w="2155" w:type="dxa"/>
            <w:shd w:val="clear" w:color="auto" w:fill="auto"/>
            <w:tcMar>
              <w:top w:w="11" w:type="dxa"/>
              <w:bottom w:w="11" w:type="dxa"/>
            </w:tcMar>
          </w:tcPr>
          <w:p>
            <w:pPr>
              <w:pStyle w:val="68"/>
            </w:pPr>
            <w:r>
              <w:t>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90°</w:t>
            </w:r>
          </w:p>
        </w:tc>
        <w:tc>
          <w:tcPr>
            <w:tcW w:w="2155" w:type="dxa"/>
            <w:shd w:val="clear" w:color="auto" w:fill="auto"/>
            <w:tcMar>
              <w:top w:w="11" w:type="dxa"/>
              <w:bottom w:w="11" w:type="dxa"/>
            </w:tcMar>
          </w:tcPr>
          <w:p>
            <w:pPr>
              <w:pStyle w:val="68"/>
            </w:pPr>
            <w:r>
              <w:t>99.8%</w:t>
            </w:r>
          </w:p>
        </w:tc>
      </w:tr>
    </w:tbl>
    <w:p>
      <w:pPr>
        <w:rPr>
          <w:b/>
        </w:rPr>
      </w:pPr>
      <w:r>
        <w:rPr>
          <w:b/>
        </w:rPr>
        <w:t>Path loss and Shadow fading</w:t>
      </w:r>
    </w:p>
    <w:p>
      <w:pPr>
        <w:rPr>
          <w:rFonts w:cs="Calibri"/>
        </w:rPr>
      </w:pPr>
      <w:r>
        <w:rPr>
          <w:rFonts w:cs="Calibri"/>
        </w:rPr>
        <w:t>The signal path between ATG UE and ATG BS undergoes several stages of propagation and attenuation. The path loss (PL) is composed of components as follows:</w:t>
      </w:r>
    </w:p>
    <w:p>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ctrlPr>
              <w:rPr>
                <w:rFonts w:ascii="Cambria Math" w:hAnsi="Cambria Math" w:cs="Calibri"/>
              </w:rPr>
            </m:ctrlPr>
          </m:e>
          <m:sub>
            <m:r>
              <m:rPr/>
              <w:rPr>
                <w:rFonts w:ascii="Cambria Math" w:hAnsi="Cambria Math" w:cs="Calibri"/>
              </w:rPr>
              <m:t>b</m:t>
            </m:r>
            <m:ctrlPr>
              <w:rPr>
                <w:rFonts w:ascii="Cambria Math" w:hAnsi="Cambria Math" w:cs="Calibri"/>
              </w:rPr>
            </m:ctrlPr>
          </m:sub>
        </m:sSub>
        <m:r>
          <m:rPr/>
          <w:rPr>
            <w:rFonts w:ascii="Cambria Math" w:hAnsi="Cambria Math" w:cs="Calibri"/>
          </w:rPr>
          <m:t>=FSPL</m:t>
        </m:r>
        <m:d>
          <m:dPr>
            <m:ctrlPr>
              <w:rPr>
                <w:rFonts w:ascii="Cambria Math" w:hAnsi="Cambria Math" w:cs="Calibri"/>
                <w:i/>
              </w:rPr>
            </m:ctrlPr>
          </m:dPr>
          <m:e>
            <m:r>
              <m:rPr/>
              <w:rPr>
                <w:rFonts w:ascii="Cambria Math" w:hAnsi="Cambria Math" w:cs="Calibri"/>
              </w:rPr>
              <m:t xml:space="preserve">d,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r>
          <m:rPr/>
          <w:rPr>
            <w:rFonts w:ascii="Cambria Math" w:hAnsi="Cambria Math" w:cs="Calibri"/>
          </w:rPr>
          <m:t>+SF+CL</m:t>
        </m:r>
        <m:d>
          <m:dPr>
            <m:ctrlPr>
              <w:rPr>
                <w:rFonts w:ascii="Cambria Math" w:hAnsi="Cambria Math" w:cs="Calibri"/>
                <w:i/>
              </w:rPr>
            </m:ctrlPr>
          </m:dPr>
          <m:e>
            <m:r>
              <m:rPr/>
              <w:rPr>
                <w:rFonts w:ascii="Cambria Math" w:hAnsi="Cambria Math" w:cs="Calibri"/>
              </w:rPr>
              <m:t xml:space="preserve">α,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oMath>
      <w:r>
        <w:rPr>
          <w:rFonts w:cs="Calibri"/>
        </w:rPr>
        <w:t>,</w:t>
      </w:r>
      <w:r>
        <w:rPr>
          <w:rFonts w:cs="Calibri"/>
        </w:rPr>
        <w:tab/>
      </w:r>
      <w:r>
        <w:rPr>
          <w:rFonts w:cs="Calibri"/>
        </w:rPr>
        <w:t>(6.2.5.1-1)</w:t>
      </w:r>
    </w:p>
    <w:p>
      <w:pPr>
        <w:rPr>
          <w:rFonts w:cs="Calibri"/>
        </w:rPr>
      </w:pPr>
      <w:r>
        <w:rPr>
          <w:rFonts w:cs="Calibri"/>
        </w:rPr>
        <w:t>where</w:t>
      </w:r>
      <w:r>
        <w:rPr>
          <w:rFonts w:cs="Calibri"/>
        </w:rPr>
        <w:tab/>
      </w:r>
      <w:r>
        <w:rPr>
          <w:rFonts w:cs="Calibri"/>
          <w:position w:val="-4"/>
        </w:rPr>
        <w:object>
          <v:shape id="_x0000_i1029" o:spt="75" type="#_x0000_t75" style="height:12pt;width:17.5pt;" o:ole="t" filled="f" o:preferrelative="t" stroked="f" coordsize="21600,21600">
            <v:path/>
            <v:fill on="f" focussize="0,0"/>
            <v:stroke on="f" joinstyle="miter"/>
            <v:imagedata r:id="rId22" o:title=""/>
            <o:lock v:ext="edit" aspectratio="t"/>
            <w10:wrap type="none"/>
            <w10:anchorlock/>
          </v:shape>
          <o:OLEObject Type="Embed" ProgID="Equation.3" ShapeID="_x0000_i1029" DrawAspect="Content" ObjectID="_1468075728" r:id="rId21">
            <o:LockedField>false</o:LockedField>
          </o:OLEObject>
        </w:object>
      </w:r>
      <w:r>
        <w:rPr>
          <w:rFonts w:cs="Calibri"/>
        </w:rPr>
        <w:t>is the total path loss in dB,</w:t>
      </w:r>
    </w:p>
    <w:p>
      <w:pPr>
        <w:spacing w:after="0"/>
        <w:rPr>
          <w:rFonts w:cs="Calibri"/>
        </w:rPr>
      </w:pPr>
      <w:r>
        <w:rPr>
          <w:rFonts w:cs="Calibri"/>
        </w:rPr>
        <w:tab/>
      </w:r>
      <w:r>
        <w:rPr>
          <w:rFonts w:cs="Calibri"/>
          <w:position w:val="-12"/>
        </w:rPr>
        <w:object>
          <v:shape id="_x0000_i1030" o:spt="75" type="#_x0000_t75" style="height:17.5pt;width:21.5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29" r:id="rId23">
            <o:LockedField>false</o:LockedField>
          </o:OLEObject>
        </w:object>
      </w:r>
      <w:r>
        <w:rPr>
          <w:rFonts w:cs="Calibri"/>
        </w:rPr>
        <w:t xml:space="preserve"> is the basic path loss in dB,</w:t>
      </w:r>
    </w:p>
    <w:p>
      <w:pPr>
        <w:spacing w:after="0"/>
        <w:rPr>
          <w:rFonts w:cs="Calibri"/>
        </w:rPr>
      </w:pPr>
      <w:r>
        <w:rPr>
          <w:rFonts w:cs="Calibri"/>
        </w:rPr>
        <w:tab/>
      </w:r>
    </w:p>
    <w:p>
      <w:pPr>
        <w:rPr>
          <w:rFonts w:cs="Calibri"/>
          <w:szCs w:val="40"/>
        </w:rPr>
      </w:pPr>
      <w:r>
        <w:rPr>
          <w:rFonts w:cs="Calibri"/>
        </w:rPr>
        <w:t>This section specifies the basic path loss model (</w:t>
      </w:r>
      <w:r>
        <w:rPr>
          <w:rFonts w:cs="Calibri"/>
          <w:position w:val="-12"/>
        </w:rPr>
        <w:object>
          <v:shape id="_x0000_i1031" o:spt="75" type="#_x0000_t75" style="height:17.5pt;width:21.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0" r:id="rId25">
            <o:LockedField>false</o:LockedField>
          </o:OLEObject>
        </w:object>
      </w:r>
      <w:r>
        <w:rPr>
          <w:rFonts w:cs="Calibri"/>
        </w:rPr>
        <w:t xml:space="preserve">) which accounts for the signal's free space propagation, clutter loss, and shadow fading. </w:t>
      </w:r>
    </w:p>
    <w:p>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c</m:t>
            </m:r>
            <m:ctrlPr>
              <w:rPr>
                <w:rFonts w:ascii="Cambria Math" w:hAnsi="Cambria Math"/>
                <w:i/>
              </w:rPr>
            </m:ctrlPr>
          </m:sub>
        </m:sSub>
      </m:oMath>
      <w:r>
        <w:rPr>
          <w:rFonts w:cs="Calibri"/>
        </w:rPr>
        <w:t xml:space="preserve"> in GHz is given by</w:t>
      </w:r>
    </w:p>
    <w:p>
      <w:pPr>
        <w:tabs>
          <w:tab w:val="center" w:pos="4820"/>
          <w:tab w:val="right" w:pos="9639"/>
        </w:tabs>
        <w:rPr>
          <w:rFonts w:cs="Calibri"/>
        </w:rPr>
      </w:pPr>
      <w:r>
        <w:rPr>
          <w:rFonts w:cs="Calibri"/>
        </w:rPr>
        <w:tab/>
      </w:r>
      <w:r>
        <w:rPr>
          <w:rFonts w:cs="Calibri"/>
          <w:lang w:val="en-US" w:eastAsia="zh-CN"/>
        </w:rPr>
        <w:drawing>
          <wp:inline distT="0" distB="0" distL="0" distR="0">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r>
      <w:r>
        <w:rPr>
          <w:rFonts w:cs="Calibri"/>
        </w:rPr>
        <w:t>(6.6-2)</w:t>
      </w:r>
    </w:p>
    <w:p>
      <w:pPr>
        <w:rPr>
          <w:rFonts w:eastAsia="MS Mincho"/>
          <w:lang w:eastAsia="ja-JP"/>
        </w:rPr>
      </w:pPr>
      <w:r>
        <w:rPr>
          <w:position w:val="-12"/>
          <w:lang w:eastAsia="zh-CN"/>
        </w:rPr>
        <w:object>
          <v:shape id="_x0000_i1032" o:spt="75" type="#_x0000_t75" style="height:17.5pt;width:50.5pt;" o:ole="t" filled="f" o:preferrelative="t" stroked="f" coordsize="21600,21600">
            <v:path/>
            <v:fill on="f" focussize="0,0"/>
            <v:stroke on="f" joinstyle="miter"/>
            <v:imagedata r:id="rId29" o:title=""/>
            <o:lock v:ext="edit" aspectratio="t"/>
            <w10:wrap type="none"/>
            <w10:anchorlock/>
          </v:shape>
          <o:OLEObject Type="Embed" ProgID="Equation.3" ShapeID="_x0000_i1032" DrawAspect="Content" ObjectID="_1468075731" r:id="rId28">
            <o:LockedField>false</o:LockedField>
          </o:OLEObject>
        </w:object>
      </w:r>
      <w:r>
        <w:rPr>
          <w:lang w:eastAsia="zh-CN"/>
        </w:rPr>
        <w:t xml:space="preserve">is clutter loss, and </w:t>
      </w:r>
      <w:r>
        <w:rPr>
          <w:position w:val="-6"/>
          <w:lang w:eastAsia="zh-CN"/>
        </w:rPr>
        <w:object>
          <v:shape id="_x0000_i1033" o:spt="75" type="#_x0000_t75" style="height:13.5pt;width:17.5pt;" o:ole="t" filled="f" o:preferrelative="t" stroked="f" coordsize="21600,21600">
            <v:path/>
            <v:fill on="f" focussize="0,0"/>
            <v:stroke on="f" joinstyle="miter"/>
            <v:imagedata r:id="rId31" o:title=""/>
            <o:lock v:ext="edit" aspectratio="t"/>
            <w10:wrap type="none"/>
            <w10:anchorlock/>
          </v:shape>
          <o:OLEObject Type="Embed" ProgID="Equation.3" ShapeID="_x0000_i1033" DrawAspect="Content" ObjectID="_1468075732" r:id="rId30">
            <o:LockedField>false</o:LockedField>
          </o:OLEObject>
        </w:object>
      </w:r>
      <w:r>
        <w:rPr>
          <w:lang w:eastAsia="zh-CN"/>
        </w:rPr>
        <w:t xml:space="preserve"> is shadow fading loss represented by a random number generated by the normal distribution, i.e., </w:t>
      </w:r>
      <w:r>
        <w:rPr>
          <w:position w:val="-6"/>
          <w:lang w:eastAsia="zh-CN"/>
        </w:rPr>
        <w:object>
          <v:shape id="_x0000_i1034" o:spt="75" type="#_x0000_t75" style="height:13.5pt;width:17.5pt;" o:ole="t" filled="f" o:preferrelative="t" stroked="f" coordsize="21600,21600">
            <v:path/>
            <v:fill on="f" focussize="0,0"/>
            <v:stroke on="f" joinstyle="miter"/>
            <v:imagedata r:id="rId33" o:title=""/>
            <o:lock v:ext="edit" aspectratio="t"/>
            <w10:wrap type="none"/>
            <w10:anchorlock/>
          </v:shape>
          <o:OLEObject Type="Embed" ProgID="Equation.3" ShapeID="_x0000_i1034" DrawAspect="Content" ObjectID="_1468075733" r:id="rId32">
            <o:LockedField>false</o:LockedField>
          </o:OLEObject>
        </w:object>
      </w:r>
      <w:r>
        <w:rPr>
          <w:lang w:eastAsia="zh-CN"/>
        </w:rPr>
        <w:t xml:space="preserve"> ~</w:t>
      </w:r>
      <w:r>
        <w:rPr>
          <w:rFonts w:eastAsia="MS Mincho"/>
          <w:position w:val="-12"/>
          <w:lang w:eastAsia="ja-JP"/>
        </w:rPr>
        <w:object>
          <v:shape id="_x0000_i1035" o:spt="75" type="#_x0000_t75" style="height:17.5pt;width:50.5pt;" o:ole="t" filled="f" o:preferrelative="t" stroked="f" coordsize="21600,21600">
            <v:path/>
            <v:fill on="f" focussize="0,0"/>
            <v:stroke on="f" joinstyle="miter"/>
            <v:imagedata r:id="rId35" o:title=""/>
            <o:lock v:ext="edit" aspectratio="t"/>
            <w10:wrap type="none"/>
            <w10:anchorlock/>
          </v:shape>
          <o:OLEObject Type="Embed" ProgID="Equation.3" ShapeID="_x0000_i1035" DrawAspect="Content" ObjectID="_1468075734" r:id="rId34">
            <o:LockedField>false</o:LockedField>
          </o:OLEObject>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pPr>
        <w:pStyle w:val="76"/>
        <w:spacing w:before="240"/>
        <w:rPr>
          <w:lang w:eastAsia="ko-KR"/>
        </w:rPr>
      </w:pPr>
      <w:r>
        <w:t>Table 6.2.5.1-2: Shadow fading and clutter loss for suburban and rural scenarios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1227"/>
        <w:gridCol w:w="1134"/>
        <w:gridCol w:w="1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restart"/>
            <w:shd w:val="clear" w:color="auto" w:fill="auto"/>
            <w:tcMar>
              <w:top w:w="11" w:type="dxa"/>
              <w:bottom w:w="11" w:type="dxa"/>
            </w:tcMar>
            <w:vAlign w:val="bottom"/>
          </w:tcPr>
          <w:p>
            <w:pPr>
              <w:pStyle w:val="68"/>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pPr>
              <w:pStyle w:val="68"/>
              <w:rPr>
                <w:rFonts w:eastAsia="MS Mincho"/>
                <w:lang w:eastAsia="ja-JP"/>
              </w:rPr>
            </w:pPr>
            <w:r>
              <w:rPr>
                <w:rFonts w:eastAsia="MS Mincho"/>
                <w:lang w:eastAsia="ja-JP"/>
              </w:rPr>
              <w:t>2GHz 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8"/>
              <w:rPr>
                <w:rFonts w:eastAsia="MS Mincho"/>
                <w:lang w:eastAsia="ja-JP"/>
              </w:rPr>
            </w:pPr>
          </w:p>
        </w:tc>
        <w:tc>
          <w:tcPr>
            <w:tcW w:w="1227" w:type="dxa"/>
            <w:shd w:val="clear" w:color="auto" w:fill="auto"/>
            <w:tcMar>
              <w:top w:w="11" w:type="dxa"/>
              <w:bottom w:w="11" w:type="dxa"/>
            </w:tcMar>
            <w:vAlign w:val="bottom"/>
          </w:tcPr>
          <w:p>
            <w:pPr>
              <w:pStyle w:val="68"/>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pPr>
              <w:pStyle w:val="68"/>
              <w:rPr>
                <w:rFonts w:eastAsia="MS Mincho"/>
                <w:lang w:eastAsia="ja-JP"/>
              </w:rPr>
            </w:pPr>
            <w:r>
              <w:rPr>
                <w:rFonts w:eastAsia="MS Mincho"/>
                <w:lang w:eastAsia="ja-JP"/>
              </w:rPr>
              <w:t>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8"/>
              <w:rPr>
                <w:rFonts w:eastAsia="MS Mincho"/>
                <w:lang w:eastAsia="ja-JP"/>
              </w:rPr>
            </w:pPr>
          </w:p>
        </w:tc>
        <w:tc>
          <w:tcPr>
            <w:tcW w:w="1227" w:type="dxa"/>
            <w:shd w:val="clear" w:color="auto" w:fill="auto"/>
            <w:tcMar>
              <w:top w:w="11" w:type="dxa"/>
              <w:bottom w:w="11" w:type="dxa"/>
            </w:tcMar>
            <w:vAlign w:val="bottom"/>
          </w:tcPr>
          <w:p>
            <w:pPr>
              <w:pStyle w:val="68"/>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6" o:spt="75" type="#_x0000_t75" style="height:17.5pt;width:20.5pt;" o:ole="t" filled="f" o:preferrelative="t" stroked="f" coordsize="21600,21600">
                  <v:path/>
                  <v:fill on="f" focussize="0,0"/>
                  <v:stroke on="f" joinstyle="miter"/>
                  <v:imagedata r:id="rId37" o:title=""/>
                  <o:lock v:ext="edit" aspectratio="t"/>
                  <w10:wrap type="none"/>
                  <w10:anchorlock/>
                </v:shape>
                <o:OLEObject Type="Embed" ProgID="Equation.3" ShapeID="_x0000_i1036" DrawAspect="Content" ObjectID="_1468075735" r:id="rId36">
                  <o:LockedField>false</o:LockedField>
                </o:OLEObject>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pPr>
              <w:pStyle w:val="68"/>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7" o:spt="75" type="#_x0000_t75" style="height:17.5pt;width:20.5pt;" o:ole="t" filled="f" o:preferrelative="t" stroked="f" coordsize="21600,21600">
                  <v:path/>
                  <v:fill on="f" focussize="0,0"/>
                  <v:stroke on="f" joinstyle="miter"/>
                  <v:imagedata r:id="rId37" o:title=""/>
                  <o:lock v:ext="edit" aspectratio="t"/>
                  <w10:wrap type="none"/>
                  <w10:anchorlock/>
                </v:shape>
                <o:OLEObject Type="Embed" ProgID="Equation.3" ShapeID="_x0000_i1037" DrawAspect="Content" ObjectID="_1468075736" r:id="rId38">
                  <o:LockedField>false</o:LockedField>
                </o:OLEObject>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pPr>
              <w:pStyle w:val="68"/>
              <w:rPr>
                <w:rFonts w:eastAsia="MS Mincho"/>
                <w:lang w:eastAsia="ja-JP"/>
              </w:rPr>
            </w:pPr>
            <w:r>
              <w:rPr>
                <w:rFonts w:eastAsia="MS Mincho"/>
                <w:position w:val="-6"/>
                <w:lang w:eastAsia="ja-JP"/>
              </w:rPr>
              <w:object>
                <v:shape id="_x0000_i1038" o:spt="75" type="#_x0000_t75" style="height:13.5pt;width:17.5pt;" o:ole="t" filled="f" o:preferrelative="t" stroked="f" coordsize="21600,21600">
                  <v:path/>
                  <v:fill on="f" focussize="0,0"/>
                  <v:stroke on="f" joinstyle="miter"/>
                  <v:imagedata r:id="rId40" o:title=""/>
                  <o:lock v:ext="edit" aspectratio="t"/>
                  <w10:wrap type="none"/>
                  <w10:anchorlock/>
                </v:shape>
                <o:OLEObject Type="Embed" ProgID="Equation.3" ShapeID="_x0000_i1038" DrawAspect="Content" ObjectID="_1468075737" r:id="rId39">
                  <o:LockedField>false</o:LockedField>
                </o:OLEObject>
              </w:object>
            </w:r>
            <w:r>
              <w:rPr>
                <w:rFonts w:eastAsia="MS Mincho"/>
                <w:lang w:eastAsia="ja-JP"/>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10°</w:t>
            </w:r>
          </w:p>
        </w:tc>
        <w:tc>
          <w:tcPr>
            <w:tcW w:w="1227" w:type="dxa"/>
            <w:shd w:val="clear" w:color="auto" w:fill="auto"/>
            <w:tcMar>
              <w:top w:w="11" w:type="dxa"/>
              <w:bottom w:w="11" w:type="dxa"/>
            </w:tcMar>
            <w:vAlign w:val="bottom"/>
          </w:tcPr>
          <w:p>
            <w:pPr>
              <w:pStyle w:val="68"/>
              <w:rPr>
                <w:rFonts w:cs="Calibri"/>
                <w:lang w:val="en"/>
              </w:rPr>
            </w:pPr>
            <w:r>
              <w:rPr>
                <w:lang w:val="en"/>
              </w:rPr>
              <w:t>1.79</w:t>
            </w:r>
          </w:p>
        </w:tc>
        <w:tc>
          <w:tcPr>
            <w:tcW w:w="1134" w:type="dxa"/>
            <w:shd w:val="clear" w:color="auto" w:fill="auto"/>
            <w:tcMar>
              <w:top w:w="11" w:type="dxa"/>
              <w:bottom w:w="11" w:type="dxa"/>
            </w:tcMar>
            <w:vAlign w:val="bottom"/>
          </w:tcPr>
          <w:p>
            <w:pPr>
              <w:pStyle w:val="68"/>
              <w:rPr>
                <w:rFonts w:cs="Calibri"/>
                <w:lang w:val="en"/>
              </w:rPr>
            </w:pPr>
            <w:r>
              <w:rPr>
                <w:lang w:val="en"/>
              </w:rPr>
              <w:t>8.93</w:t>
            </w:r>
          </w:p>
        </w:tc>
        <w:tc>
          <w:tcPr>
            <w:tcW w:w="1021" w:type="dxa"/>
            <w:shd w:val="clear" w:color="auto" w:fill="auto"/>
            <w:tcMar>
              <w:top w:w="11" w:type="dxa"/>
              <w:bottom w:w="11" w:type="dxa"/>
            </w:tcMar>
            <w:vAlign w:val="bottom"/>
          </w:tcPr>
          <w:p>
            <w:pPr>
              <w:pStyle w:val="68"/>
              <w:rPr>
                <w:rFonts w:cs="Calibri"/>
                <w:lang w:val="en"/>
              </w:rPr>
            </w:pPr>
            <w:r>
              <w:rPr>
                <w:lang w:val="en"/>
              </w:rPr>
              <w:t>19.52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20°</w:t>
            </w:r>
          </w:p>
        </w:tc>
        <w:tc>
          <w:tcPr>
            <w:tcW w:w="1227" w:type="dxa"/>
            <w:shd w:val="clear" w:color="auto" w:fill="auto"/>
            <w:tcMar>
              <w:top w:w="11" w:type="dxa"/>
              <w:bottom w:w="11" w:type="dxa"/>
            </w:tcMar>
            <w:vAlign w:val="bottom"/>
          </w:tcPr>
          <w:p>
            <w:pPr>
              <w:pStyle w:val="68"/>
              <w:rPr>
                <w:rFonts w:cs="Calibri"/>
                <w:lang w:val="en"/>
              </w:rPr>
            </w:pPr>
            <w:r>
              <w:rPr>
                <w:lang w:val="en"/>
              </w:rPr>
              <w:t>1.14</w:t>
            </w:r>
          </w:p>
        </w:tc>
        <w:tc>
          <w:tcPr>
            <w:tcW w:w="1134" w:type="dxa"/>
            <w:shd w:val="clear" w:color="auto" w:fill="auto"/>
            <w:tcMar>
              <w:top w:w="11" w:type="dxa"/>
              <w:bottom w:w="11" w:type="dxa"/>
            </w:tcMar>
            <w:vAlign w:val="bottom"/>
          </w:tcPr>
          <w:p>
            <w:pPr>
              <w:pStyle w:val="68"/>
              <w:rPr>
                <w:rFonts w:cs="Calibri"/>
                <w:lang w:val="en"/>
              </w:rPr>
            </w:pPr>
            <w:r>
              <w:rPr>
                <w:lang w:val="en"/>
              </w:rPr>
              <w:t>9.08</w:t>
            </w:r>
          </w:p>
        </w:tc>
        <w:tc>
          <w:tcPr>
            <w:tcW w:w="1021" w:type="dxa"/>
            <w:shd w:val="clear" w:color="auto" w:fill="auto"/>
            <w:tcMar>
              <w:top w:w="11" w:type="dxa"/>
              <w:bottom w:w="11" w:type="dxa"/>
            </w:tcMar>
            <w:vAlign w:val="bottom"/>
          </w:tcPr>
          <w:p>
            <w:pPr>
              <w:pStyle w:val="68"/>
              <w:rPr>
                <w:rFonts w:cs="Calibri"/>
                <w:lang w:val="en"/>
              </w:rPr>
            </w:pPr>
            <w:r>
              <w:rPr>
                <w:lang w:val="en"/>
              </w:rPr>
              <w:t>18.17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30°</w:t>
            </w:r>
          </w:p>
        </w:tc>
        <w:tc>
          <w:tcPr>
            <w:tcW w:w="1227" w:type="dxa"/>
            <w:shd w:val="clear" w:color="auto" w:fill="auto"/>
            <w:tcMar>
              <w:top w:w="11" w:type="dxa"/>
              <w:bottom w:w="11" w:type="dxa"/>
            </w:tcMar>
            <w:vAlign w:val="bottom"/>
          </w:tcPr>
          <w:p>
            <w:pPr>
              <w:pStyle w:val="68"/>
              <w:rPr>
                <w:rFonts w:cs="Calibri"/>
                <w:lang w:val="en"/>
              </w:rPr>
            </w:pPr>
            <w:r>
              <w:rPr>
                <w:lang w:val="en"/>
              </w:rPr>
              <w:t>1.14</w:t>
            </w:r>
          </w:p>
        </w:tc>
        <w:tc>
          <w:tcPr>
            <w:tcW w:w="1134" w:type="dxa"/>
            <w:shd w:val="clear" w:color="auto" w:fill="auto"/>
            <w:tcMar>
              <w:top w:w="11" w:type="dxa"/>
              <w:bottom w:w="11" w:type="dxa"/>
            </w:tcMar>
            <w:vAlign w:val="bottom"/>
          </w:tcPr>
          <w:p>
            <w:pPr>
              <w:pStyle w:val="68"/>
              <w:rPr>
                <w:rFonts w:cs="Calibri"/>
                <w:lang w:val="en"/>
              </w:rPr>
            </w:pPr>
            <w:r>
              <w:rPr>
                <w:lang w:val="en"/>
              </w:rPr>
              <w:t>8.78</w:t>
            </w:r>
          </w:p>
        </w:tc>
        <w:tc>
          <w:tcPr>
            <w:tcW w:w="1021" w:type="dxa"/>
            <w:shd w:val="clear" w:color="auto" w:fill="auto"/>
            <w:tcMar>
              <w:top w:w="11" w:type="dxa"/>
              <w:bottom w:w="11" w:type="dxa"/>
            </w:tcMar>
            <w:vAlign w:val="bottom"/>
          </w:tcPr>
          <w:p>
            <w:pPr>
              <w:pStyle w:val="68"/>
              <w:rPr>
                <w:rFonts w:cs="Calibri"/>
                <w:lang w:val="en"/>
              </w:rPr>
            </w:pPr>
            <w:r>
              <w:rPr>
                <w:lang w:val="en"/>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40°</w:t>
            </w:r>
          </w:p>
        </w:tc>
        <w:tc>
          <w:tcPr>
            <w:tcW w:w="1227" w:type="dxa"/>
            <w:shd w:val="clear" w:color="auto" w:fill="auto"/>
            <w:tcMar>
              <w:top w:w="11" w:type="dxa"/>
              <w:bottom w:w="11" w:type="dxa"/>
            </w:tcMar>
            <w:vAlign w:val="bottom"/>
          </w:tcPr>
          <w:p>
            <w:pPr>
              <w:pStyle w:val="68"/>
              <w:rPr>
                <w:rFonts w:cs="Calibri"/>
                <w:lang w:val="en"/>
              </w:rPr>
            </w:pPr>
            <w:r>
              <w:rPr>
                <w:lang w:val="en"/>
              </w:rPr>
              <w:t>0.92</w:t>
            </w:r>
          </w:p>
        </w:tc>
        <w:tc>
          <w:tcPr>
            <w:tcW w:w="1134" w:type="dxa"/>
            <w:shd w:val="clear" w:color="auto" w:fill="auto"/>
            <w:tcMar>
              <w:top w:w="11" w:type="dxa"/>
              <w:bottom w:w="11" w:type="dxa"/>
            </w:tcMar>
            <w:vAlign w:val="bottom"/>
          </w:tcPr>
          <w:p>
            <w:pPr>
              <w:pStyle w:val="68"/>
              <w:rPr>
                <w:rFonts w:cs="Calibri"/>
                <w:lang w:val="en"/>
              </w:rPr>
            </w:pPr>
            <w:r>
              <w:rPr>
                <w:lang w:val="en"/>
              </w:rPr>
              <w:t>10.25</w:t>
            </w:r>
          </w:p>
        </w:tc>
        <w:tc>
          <w:tcPr>
            <w:tcW w:w="1021" w:type="dxa"/>
            <w:shd w:val="clear" w:color="auto" w:fill="auto"/>
            <w:tcMar>
              <w:top w:w="11" w:type="dxa"/>
              <w:bottom w:w="11" w:type="dxa"/>
            </w:tcMar>
            <w:vAlign w:val="bottom"/>
          </w:tcPr>
          <w:p>
            <w:pPr>
              <w:pStyle w:val="68"/>
              <w:rPr>
                <w:rFonts w:cs="Calibri"/>
                <w:lang w:val="en"/>
              </w:rPr>
            </w:pPr>
            <w:r>
              <w:rPr>
                <w:lang w:val="en"/>
              </w:rPr>
              <w:t>18.28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50°</w:t>
            </w:r>
          </w:p>
        </w:tc>
        <w:tc>
          <w:tcPr>
            <w:tcW w:w="1227" w:type="dxa"/>
            <w:shd w:val="clear" w:color="auto" w:fill="auto"/>
            <w:tcMar>
              <w:top w:w="11" w:type="dxa"/>
              <w:bottom w:w="11" w:type="dxa"/>
            </w:tcMar>
            <w:vAlign w:val="bottom"/>
          </w:tcPr>
          <w:p>
            <w:pPr>
              <w:pStyle w:val="68"/>
              <w:rPr>
                <w:rFonts w:cs="Calibri"/>
                <w:lang w:val="en"/>
              </w:rPr>
            </w:pPr>
            <w:r>
              <w:rPr>
                <w:lang w:val="en"/>
              </w:rPr>
              <w:t>1.42</w:t>
            </w:r>
          </w:p>
        </w:tc>
        <w:tc>
          <w:tcPr>
            <w:tcW w:w="1134" w:type="dxa"/>
            <w:shd w:val="clear" w:color="auto" w:fill="auto"/>
            <w:tcMar>
              <w:top w:w="11" w:type="dxa"/>
              <w:bottom w:w="11" w:type="dxa"/>
            </w:tcMar>
            <w:vAlign w:val="bottom"/>
          </w:tcPr>
          <w:p>
            <w:pPr>
              <w:pStyle w:val="68"/>
              <w:rPr>
                <w:rFonts w:cs="Calibri"/>
                <w:lang w:val="en"/>
              </w:rPr>
            </w:pPr>
            <w:r>
              <w:rPr>
                <w:lang w:val="en"/>
              </w:rPr>
              <w:t>10.56</w:t>
            </w:r>
          </w:p>
        </w:tc>
        <w:tc>
          <w:tcPr>
            <w:tcW w:w="1021" w:type="dxa"/>
            <w:shd w:val="clear" w:color="auto" w:fill="auto"/>
            <w:tcMar>
              <w:top w:w="11" w:type="dxa"/>
              <w:bottom w:w="11" w:type="dxa"/>
            </w:tcMar>
            <w:vAlign w:val="bottom"/>
          </w:tcPr>
          <w:p>
            <w:pPr>
              <w:pStyle w:val="68"/>
              <w:rPr>
                <w:rFonts w:cs="Calibri"/>
                <w:lang w:val="en"/>
              </w:rPr>
            </w:pPr>
            <w:r>
              <w:rPr>
                <w:lang w:val="en"/>
              </w:rPr>
              <w:t>18.63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60°</w:t>
            </w:r>
          </w:p>
        </w:tc>
        <w:tc>
          <w:tcPr>
            <w:tcW w:w="1227" w:type="dxa"/>
            <w:shd w:val="clear" w:color="auto" w:fill="auto"/>
            <w:tcMar>
              <w:top w:w="11" w:type="dxa"/>
              <w:bottom w:w="11" w:type="dxa"/>
            </w:tcMar>
            <w:vAlign w:val="bottom"/>
          </w:tcPr>
          <w:p>
            <w:pPr>
              <w:pStyle w:val="68"/>
              <w:rPr>
                <w:rFonts w:cs="Calibri"/>
                <w:lang w:val="en"/>
              </w:rPr>
            </w:pPr>
            <w:r>
              <w:rPr>
                <w:lang w:val="en"/>
              </w:rPr>
              <w:t>1.56</w:t>
            </w:r>
          </w:p>
        </w:tc>
        <w:tc>
          <w:tcPr>
            <w:tcW w:w="1134" w:type="dxa"/>
            <w:shd w:val="clear" w:color="auto" w:fill="auto"/>
            <w:tcMar>
              <w:top w:w="11" w:type="dxa"/>
              <w:bottom w:w="11" w:type="dxa"/>
            </w:tcMar>
            <w:vAlign w:val="bottom"/>
          </w:tcPr>
          <w:p>
            <w:pPr>
              <w:pStyle w:val="68"/>
              <w:rPr>
                <w:rFonts w:cs="Calibri"/>
                <w:lang w:val="en"/>
              </w:rPr>
            </w:pPr>
            <w:r>
              <w:rPr>
                <w:lang w:val="en"/>
              </w:rPr>
              <w:t>10.74</w:t>
            </w:r>
          </w:p>
        </w:tc>
        <w:tc>
          <w:tcPr>
            <w:tcW w:w="1021" w:type="dxa"/>
            <w:shd w:val="clear" w:color="auto" w:fill="auto"/>
            <w:tcMar>
              <w:top w:w="11" w:type="dxa"/>
              <w:bottom w:w="11" w:type="dxa"/>
            </w:tcMar>
            <w:vAlign w:val="bottom"/>
          </w:tcPr>
          <w:p>
            <w:pPr>
              <w:pStyle w:val="68"/>
              <w:rPr>
                <w:rFonts w:cs="Calibri"/>
                <w:lang w:val="en"/>
              </w:rPr>
            </w:pPr>
            <w:r>
              <w:rPr>
                <w:lang w:val="en"/>
              </w:rPr>
              <w:t>17.68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70°</w:t>
            </w:r>
          </w:p>
        </w:tc>
        <w:tc>
          <w:tcPr>
            <w:tcW w:w="1227" w:type="dxa"/>
            <w:shd w:val="clear" w:color="auto" w:fill="auto"/>
            <w:tcMar>
              <w:top w:w="11" w:type="dxa"/>
              <w:bottom w:w="11" w:type="dxa"/>
            </w:tcMar>
            <w:vAlign w:val="bottom"/>
          </w:tcPr>
          <w:p>
            <w:pPr>
              <w:pStyle w:val="68"/>
              <w:rPr>
                <w:rFonts w:cs="Calibri"/>
                <w:lang w:val="en"/>
              </w:rPr>
            </w:pPr>
            <w:r>
              <w:rPr>
                <w:lang w:val="en"/>
              </w:rPr>
              <w:t>0.85</w:t>
            </w:r>
          </w:p>
        </w:tc>
        <w:tc>
          <w:tcPr>
            <w:tcW w:w="1134" w:type="dxa"/>
            <w:shd w:val="clear" w:color="auto" w:fill="auto"/>
            <w:tcMar>
              <w:top w:w="11" w:type="dxa"/>
              <w:bottom w:w="11" w:type="dxa"/>
            </w:tcMar>
            <w:vAlign w:val="bottom"/>
          </w:tcPr>
          <w:p>
            <w:pPr>
              <w:pStyle w:val="68"/>
              <w:rPr>
                <w:rFonts w:cs="Calibri"/>
                <w:lang w:val="en"/>
              </w:rPr>
            </w:pPr>
            <w:r>
              <w:rPr>
                <w:lang w:val="en"/>
              </w:rPr>
              <w:t>10.17</w:t>
            </w:r>
          </w:p>
        </w:tc>
        <w:tc>
          <w:tcPr>
            <w:tcW w:w="1021" w:type="dxa"/>
            <w:shd w:val="clear" w:color="auto" w:fill="auto"/>
            <w:tcMar>
              <w:top w:w="11" w:type="dxa"/>
              <w:bottom w:w="11" w:type="dxa"/>
            </w:tcMar>
            <w:vAlign w:val="bottom"/>
          </w:tcPr>
          <w:p>
            <w:pPr>
              <w:pStyle w:val="68"/>
              <w:rPr>
                <w:rFonts w:cs="Calibri"/>
                <w:lang w:val="en"/>
              </w:rPr>
            </w:pPr>
            <w:r>
              <w:rPr>
                <w:lang w:val="en"/>
              </w:rPr>
              <w:t>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80°</w:t>
            </w:r>
          </w:p>
        </w:tc>
        <w:tc>
          <w:tcPr>
            <w:tcW w:w="1227" w:type="dxa"/>
            <w:shd w:val="clear" w:color="auto" w:fill="auto"/>
            <w:tcMar>
              <w:top w:w="11" w:type="dxa"/>
              <w:bottom w:w="11" w:type="dxa"/>
            </w:tcMar>
            <w:vAlign w:val="bottom"/>
          </w:tcPr>
          <w:p>
            <w:pPr>
              <w:pStyle w:val="68"/>
              <w:rPr>
                <w:rFonts w:cs="Calibri"/>
                <w:lang w:val="en"/>
              </w:rPr>
            </w:pPr>
            <w:r>
              <w:rPr>
                <w:lang w:val="en"/>
              </w:rPr>
              <w:t>0.72</w:t>
            </w:r>
          </w:p>
        </w:tc>
        <w:tc>
          <w:tcPr>
            <w:tcW w:w="1134" w:type="dxa"/>
            <w:shd w:val="clear" w:color="auto" w:fill="auto"/>
            <w:tcMar>
              <w:top w:w="11" w:type="dxa"/>
              <w:bottom w:w="11" w:type="dxa"/>
            </w:tcMar>
            <w:vAlign w:val="bottom"/>
          </w:tcPr>
          <w:p>
            <w:pPr>
              <w:pStyle w:val="68"/>
              <w:rPr>
                <w:rFonts w:cs="Calibri"/>
                <w:lang w:val="en"/>
              </w:rPr>
            </w:pPr>
            <w:r>
              <w:rPr>
                <w:lang w:val="en"/>
              </w:rPr>
              <w:t>11.52</w:t>
            </w:r>
          </w:p>
        </w:tc>
        <w:tc>
          <w:tcPr>
            <w:tcW w:w="1021" w:type="dxa"/>
            <w:shd w:val="clear" w:color="auto" w:fill="auto"/>
            <w:tcMar>
              <w:top w:w="11" w:type="dxa"/>
              <w:bottom w:w="11" w:type="dxa"/>
            </w:tcMar>
            <w:vAlign w:val="bottom"/>
          </w:tcPr>
          <w:p>
            <w:pPr>
              <w:pStyle w:val="68"/>
              <w:rPr>
                <w:rFonts w:cs="Calibri"/>
                <w:lang w:val="en"/>
              </w:rPr>
            </w:pPr>
            <w:r>
              <w:rPr>
                <w:lang w:val="en"/>
              </w:rPr>
              <w:t>16.30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90°</w:t>
            </w:r>
          </w:p>
        </w:tc>
        <w:tc>
          <w:tcPr>
            <w:tcW w:w="1227" w:type="dxa"/>
            <w:shd w:val="clear" w:color="auto" w:fill="auto"/>
            <w:tcMar>
              <w:top w:w="11" w:type="dxa"/>
              <w:bottom w:w="11" w:type="dxa"/>
            </w:tcMar>
            <w:vAlign w:val="bottom"/>
          </w:tcPr>
          <w:p>
            <w:pPr>
              <w:pStyle w:val="68"/>
              <w:rPr>
                <w:rFonts w:cs="Calibri"/>
                <w:lang w:val="en"/>
              </w:rPr>
            </w:pPr>
            <w:r>
              <w:rPr>
                <w:lang w:val="en"/>
              </w:rPr>
              <w:t>0.72</w:t>
            </w:r>
          </w:p>
        </w:tc>
        <w:tc>
          <w:tcPr>
            <w:tcW w:w="1134" w:type="dxa"/>
            <w:shd w:val="clear" w:color="auto" w:fill="auto"/>
            <w:tcMar>
              <w:top w:w="11" w:type="dxa"/>
              <w:bottom w:w="11" w:type="dxa"/>
            </w:tcMar>
            <w:vAlign w:val="bottom"/>
          </w:tcPr>
          <w:p>
            <w:pPr>
              <w:pStyle w:val="68"/>
              <w:rPr>
                <w:rFonts w:cs="Calibri"/>
                <w:lang w:val="en"/>
              </w:rPr>
            </w:pPr>
            <w:r>
              <w:rPr>
                <w:lang w:val="en"/>
              </w:rPr>
              <w:t>11.52</w:t>
            </w:r>
          </w:p>
        </w:tc>
        <w:tc>
          <w:tcPr>
            <w:tcW w:w="1021" w:type="dxa"/>
            <w:shd w:val="clear" w:color="auto" w:fill="auto"/>
            <w:tcMar>
              <w:top w:w="11" w:type="dxa"/>
              <w:bottom w:w="11" w:type="dxa"/>
            </w:tcMar>
            <w:vAlign w:val="bottom"/>
          </w:tcPr>
          <w:p>
            <w:pPr>
              <w:pStyle w:val="68"/>
              <w:rPr>
                <w:rFonts w:cs="Calibri"/>
                <w:lang w:val="en"/>
              </w:rPr>
            </w:pPr>
            <w:r>
              <w:rPr>
                <w:lang w:val="en"/>
              </w:rPr>
              <w:t>16.30</w:t>
            </w:r>
          </w:p>
        </w:tc>
      </w:tr>
    </w:tbl>
    <w:p/>
    <w:p>
      <w:pPr>
        <w:pStyle w:val="5"/>
      </w:pPr>
      <w:bookmarkStart w:id="190" w:name="_Toc26144"/>
      <w:bookmarkStart w:id="191" w:name="_Toc2266"/>
      <w:bookmarkStart w:id="192" w:name="_Toc133498133"/>
      <w:bookmarkStart w:id="193" w:name="_Toc5387"/>
      <w:bookmarkStart w:id="194" w:name="_Toc15313"/>
      <w:bookmarkStart w:id="195" w:name="_Toc8095"/>
      <w:r>
        <w:rPr>
          <w:rFonts w:hint="eastAsia"/>
        </w:rPr>
        <w:t xml:space="preserve">6.2.5.2 </w:t>
      </w:r>
      <w:r>
        <w:t>Propagation model between TN BS and TN UE</w:t>
      </w:r>
      <w:bookmarkEnd w:id="190"/>
      <w:bookmarkEnd w:id="191"/>
      <w:bookmarkEnd w:id="192"/>
      <w:bookmarkEnd w:id="193"/>
      <w:bookmarkEnd w:id="194"/>
      <w:bookmarkEnd w:id="195"/>
    </w:p>
    <w:p>
      <w:pPr>
        <w:rPr>
          <w:rFonts w:hint="default"/>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rFonts w:hint="default"/>
          <w:lang w:val="en-US" w:eastAsia="zh-CN"/>
        </w:rPr>
        <w:t>’</w:t>
      </w:r>
      <w:r>
        <w:rPr>
          <w:rFonts w:hint="eastAsia"/>
          <w:lang w:val="en-US" w:eastAsia="zh-CN"/>
        </w:rPr>
        <w:t>s noted we assume all TN UE are outdoor, therefore there is no indoor distance and no O2I building penetration loss in simulation.</w:t>
      </w:r>
    </w:p>
    <w:p>
      <w:pPr>
        <w:rPr>
          <w:b/>
          <w:lang w:eastAsia="zh-CN"/>
        </w:rPr>
      </w:pPr>
      <w:r>
        <w:rPr>
          <w:rFonts w:hint="eastAsia"/>
          <w:b/>
        </w:rPr>
        <w:t>Pathloss</w:t>
      </w:r>
      <w:r>
        <w:rPr>
          <w:b/>
        </w:rPr>
        <w:t>:</w:t>
      </w:r>
    </w:p>
    <w:p>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pPr>
        <w:pStyle w:val="76"/>
        <w:rPr>
          <w:lang w:eastAsia="ko-KR"/>
        </w:rPr>
      </w:pPr>
      <w:bookmarkStart w:id="196" w:name="_Ref363806083"/>
      <w:bookmarkEnd w:id="196"/>
      <w:bookmarkStart w:id="197" w:name="_Ref363806159"/>
      <w:bookmarkEnd w:id="197"/>
    </w:p>
    <w:tbl>
      <w:tblPr>
        <w:tblStyle w:val="49"/>
        <w:tblW w:w="0" w:type="auto"/>
        <w:tblInd w:w="0" w:type="dxa"/>
        <w:tblLayout w:type="autofit"/>
        <w:tblCellMar>
          <w:top w:w="0" w:type="dxa"/>
          <w:left w:w="108" w:type="dxa"/>
          <w:bottom w:w="0" w:type="dxa"/>
          <w:right w:w="108" w:type="dxa"/>
        </w:tblCellMar>
      </w:tblPr>
      <w:tblGrid>
        <w:gridCol w:w="4914"/>
        <w:gridCol w:w="4914"/>
      </w:tblGrid>
      <w:tr>
        <w:tblPrEx>
          <w:tblCellMar>
            <w:top w:w="0" w:type="dxa"/>
            <w:left w:w="108" w:type="dxa"/>
            <w:bottom w:w="0" w:type="dxa"/>
            <w:right w:w="108" w:type="dxa"/>
          </w:tblCellMar>
        </w:tblPrEx>
        <w:tc>
          <w:tcPr>
            <w:tcW w:w="4914" w:type="dxa"/>
            <w:shd w:val="clear" w:color="auto" w:fill="auto"/>
          </w:tcPr>
          <w:p>
            <w:pPr>
              <w:pStyle w:val="76"/>
              <w:rPr>
                <w:lang w:eastAsia="ko-KR"/>
              </w:rPr>
            </w:pPr>
            <w:r>
              <w:object>
                <v:shape id="_x0000_i1039" o:spt="75" type="#_x0000_t75" style="height:112pt;width:208.5pt;" o:ole="t" filled="f" o:preferrelative="t" stroked="f" coordsize="21600,21600">
                  <v:path/>
                  <v:fill on="f" focussize="0,0"/>
                  <v:stroke on="f" joinstyle="miter"/>
                  <v:imagedata r:id="rId42" o:title=""/>
                  <o:lock v:ext="edit" aspectratio="t"/>
                  <w10:wrap type="none"/>
                  <w10:anchorlock/>
                </v:shape>
                <o:OLEObject Type="Embed" ProgID="Visio.Drawing.11" ShapeID="_x0000_i1039" DrawAspect="Content" ObjectID="_1468075738" r:id="rId41">
                  <o:LockedField>false</o:LockedField>
                </o:OLEObject>
              </w:object>
            </w:r>
          </w:p>
        </w:tc>
        <w:tc>
          <w:tcPr>
            <w:tcW w:w="4914" w:type="dxa"/>
            <w:shd w:val="clear" w:color="auto" w:fill="auto"/>
          </w:tcPr>
          <w:p>
            <w:pPr>
              <w:pStyle w:val="76"/>
              <w:rPr>
                <w:lang w:eastAsia="ko-KR"/>
              </w:rPr>
            </w:pPr>
            <w:r>
              <w:object>
                <v:shape id="_x0000_i1040" o:spt="75" type="#_x0000_t75" style="height:115pt;width:215pt;" o:ole="t" filled="f" o:preferrelative="t" stroked="f" coordsize="21600,21600">
                  <v:path/>
                  <v:fill on="f" focussize="0,0"/>
                  <v:stroke on="f" joinstyle="miter"/>
                  <v:imagedata r:id="rId44" o:title=""/>
                  <o:lock v:ext="edit" aspectratio="t"/>
                  <w10:wrap type="none"/>
                  <w10:anchorlock/>
                </v:shape>
                <o:OLEObject Type="Embed" ProgID="Visio.Drawing.11" ShapeID="_x0000_i1040" DrawAspect="Content" ObjectID="_1468075739" r:id="rId4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14" w:type="dxa"/>
            <w:tcBorders>
              <w:top w:val="nil"/>
              <w:left w:val="nil"/>
              <w:bottom w:val="nil"/>
              <w:right w:val="nil"/>
            </w:tcBorders>
            <w:shd w:val="clear" w:color="auto" w:fill="auto"/>
          </w:tcPr>
          <w:p>
            <w:pPr>
              <w:pStyle w:val="83"/>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ype="textWrapping"/>
            </w:r>
            <w:r>
              <w:t>for outdoor UTs</w:t>
            </w:r>
          </w:p>
        </w:tc>
        <w:tc>
          <w:tcPr>
            <w:tcW w:w="4914" w:type="dxa"/>
            <w:tcBorders>
              <w:top w:val="nil"/>
              <w:left w:val="nil"/>
              <w:bottom w:val="nil"/>
              <w:right w:val="nil"/>
            </w:tcBorders>
            <w:shd w:val="clear" w:color="auto" w:fill="auto"/>
          </w:tcPr>
          <w:p>
            <w:pPr>
              <w:pStyle w:val="83"/>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ype="textWrapping"/>
            </w:r>
            <w: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pPr>
        <w:spacing w:after="200" w:line="276" w:lineRule="auto"/>
      </w:pPr>
      <w:r>
        <w:t xml:space="preserve">Note that </w:t>
      </w:r>
    </w:p>
    <w:p>
      <w:pPr>
        <w:pStyle w:val="58"/>
        <w:tabs>
          <w:tab w:val="center" w:pos="4820"/>
          <w:tab w:val="clear" w:pos="4536"/>
        </w:tabs>
        <w:rPr>
          <w:lang w:eastAsia="ko-KR"/>
        </w:rPr>
      </w:pPr>
      <w:r>
        <w:tab/>
      </w:r>
      <w:r>
        <w:rPr>
          <w:position w:val="-14"/>
        </w:rPr>
        <w:object>
          <v:shape id="_x0000_i1041" o:spt="75" type="#_x0000_t75" style="height:23.5pt;width:242pt;" o:ole="t" filled="f" o:preferrelative="t" stroked="f" coordsize="21600,21600">
            <v:path/>
            <v:fill on="f" focussize="0,0"/>
            <v:stroke on="f" joinstyle="miter"/>
            <v:imagedata r:id="rId46" o:title=""/>
            <o:lock v:ext="edit" aspectratio="t"/>
            <w10:wrap type="none"/>
            <w10:anchorlock/>
          </v:shape>
          <o:OLEObject Type="Embed" ProgID="Equation.3" ShapeID="_x0000_i1041" DrawAspect="Content" ObjectID="_1468075740" r:id="rId45">
            <o:LockedField>false</o:LockedField>
          </o:OLEObject>
        </w:object>
      </w:r>
      <w:r>
        <w:tab/>
      </w:r>
      <w:r>
        <w:t>(7.4-1)</w:t>
      </w:r>
    </w:p>
    <w:p/>
    <w:p>
      <w:pPr>
        <w:pStyle w:val="76"/>
        <w:keepNext w:val="0"/>
        <w:keepLines w:val="0"/>
      </w:pPr>
      <w:r>
        <w:t>Table 6.2.5.2-1: Pathloss models</w:t>
      </w:r>
    </w:p>
    <w:tbl>
      <w:tblPr>
        <w:tblStyle w:val="49"/>
        <w:tblW w:w="10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5"/>
        <w:gridCol w:w="445"/>
        <w:gridCol w:w="6040"/>
        <w:gridCol w:w="1029"/>
        <w:gridCol w:w="2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8" w:hRule="atLeast"/>
          <w:tblHeader/>
        </w:trPr>
        <w:tc>
          <w:tcPr>
            <w:tcW w:w="0" w:type="auto"/>
            <w:shd w:val="clear" w:color="auto" w:fill="D9D9D9"/>
            <w:textDirection w:val="btLr"/>
            <w:vAlign w:val="center"/>
          </w:tcPr>
          <w:p>
            <w:pPr>
              <w:pStyle w:val="67"/>
              <w:keepNext w:val="0"/>
              <w:keepLines w:val="0"/>
              <w:ind w:left="113" w:right="113"/>
              <w:rPr>
                <w:szCs w:val="18"/>
              </w:rPr>
            </w:pPr>
            <w:r>
              <w:rPr>
                <w:szCs w:val="18"/>
              </w:rPr>
              <w:t>Scenario</w:t>
            </w:r>
          </w:p>
        </w:tc>
        <w:tc>
          <w:tcPr>
            <w:tcW w:w="0" w:type="auto"/>
            <w:shd w:val="clear" w:color="auto" w:fill="D9D9D9"/>
            <w:textDirection w:val="btLr"/>
            <w:vAlign w:val="center"/>
          </w:tcPr>
          <w:p>
            <w:pPr>
              <w:pStyle w:val="67"/>
              <w:keepNext w:val="0"/>
              <w:keepLines w:val="0"/>
              <w:ind w:left="113" w:right="113"/>
              <w:rPr>
                <w:szCs w:val="18"/>
              </w:rPr>
            </w:pPr>
            <w:r>
              <w:rPr>
                <w:szCs w:val="18"/>
              </w:rPr>
              <w:t>LOS/NLOS</w:t>
            </w:r>
          </w:p>
        </w:tc>
        <w:tc>
          <w:tcPr>
            <w:tcW w:w="0" w:type="auto"/>
            <w:shd w:val="clear" w:color="auto" w:fill="D9D9D9"/>
            <w:vAlign w:val="center"/>
          </w:tcPr>
          <w:p>
            <w:pPr>
              <w:pStyle w:val="67"/>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pPr>
              <w:pStyle w:val="67"/>
              <w:keepNext w:val="0"/>
              <w:keepLines w:val="0"/>
              <w:rPr>
                <w:rFonts w:cs="Arial"/>
                <w:szCs w:val="18"/>
              </w:rPr>
            </w:pPr>
            <w:r>
              <w:rPr>
                <w:rFonts w:cs="Arial"/>
                <w:szCs w:val="18"/>
              </w:rPr>
              <w:t xml:space="preserve">Shadow </w:t>
            </w:r>
          </w:p>
          <w:p>
            <w:pPr>
              <w:pStyle w:val="67"/>
              <w:keepNext w:val="0"/>
              <w:keepLines w:val="0"/>
              <w:rPr>
                <w:rFonts w:cs="Arial"/>
                <w:szCs w:val="18"/>
              </w:rPr>
            </w:pPr>
            <w:r>
              <w:rPr>
                <w:rFonts w:cs="Arial"/>
                <w:szCs w:val="18"/>
              </w:rPr>
              <w:t xml:space="preserve">fading </w:t>
            </w:r>
          </w:p>
          <w:p>
            <w:pPr>
              <w:pStyle w:val="67"/>
              <w:keepNext w:val="0"/>
              <w:keepLines w:val="0"/>
              <w:rPr>
                <w:rFonts w:cs="Arial"/>
                <w:szCs w:val="18"/>
              </w:rPr>
            </w:pPr>
            <w:r>
              <w:rPr>
                <w:rFonts w:cs="Arial"/>
                <w:szCs w:val="18"/>
              </w:rPr>
              <w:t>std [dB]</w:t>
            </w:r>
          </w:p>
        </w:tc>
        <w:tc>
          <w:tcPr>
            <w:tcW w:w="0" w:type="auto"/>
            <w:shd w:val="clear" w:color="auto" w:fill="D9D9D9"/>
            <w:vAlign w:val="center"/>
          </w:tcPr>
          <w:p>
            <w:pPr>
              <w:pStyle w:val="67"/>
              <w:keepNext w:val="0"/>
              <w:keepLines w:val="0"/>
              <w:rPr>
                <w:rFonts w:cs="Arial"/>
                <w:szCs w:val="18"/>
              </w:rPr>
            </w:pPr>
            <w:r>
              <w:rPr>
                <w:rFonts w:cs="Arial"/>
                <w:szCs w:val="18"/>
              </w:rPr>
              <w:t xml:space="preserve">Applicability range, </w:t>
            </w:r>
          </w:p>
          <w:p>
            <w:pPr>
              <w:pStyle w:val="67"/>
              <w:keepNext w:val="0"/>
              <w:keepLines w:val="0"/>
              <w:rPr>
                <w:rFonts w:cs="Arial"/>
                <w:szCs w:val="18"/>
              </w:rPr>
            </w:pPr>
            <w:r>
              <w:rPr>
                <w:rFonts w:cs="Arial"/>
                <w:szCs w:val="18"/>
              </w:rPr>
              <w:t xml:space="preserve">antenna height </w:t>
            </w:r>
          </w:p>
          <w:p>
            <w:pPr>
              <w:pStyle w:val="67"/>
              <w:keepNext w:val="0"/>
              <w:keepLines w:val="0"/>
              <w:rPr>
                <w:rFonts w:cs="Arial"/>
                <w:szCs w:val="18"/>
              </w:rPr>
            </w:pPr>
            <w:r>
              <w:rPr>
                <w:rFonts w:cs="Arial"/>
                <w:szCs w:val="18"/>
              </w:rPr>
              <w:t xml:space="preserve">default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restart"/>
            <w:shd w:val="clear" w:color="auto" w:fill="F2F2F2"/>
            <w:textDirection w:val="btLr"/>
            <w:vAlign w:val="center"/>
          </w:tcPr>
          <w:p>
            <w:pPr>
              <w:pStyle w:val="67"/>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pPr>
              <w:pStyle w:val="67"/>
              <w:keepNext w:val="0"/>
              <w:keepLines w:val="0"/>
              <w:ind w:left="113" w:right="113"/>
              <w:rPr>
                <w:szCs w:val="18"/>
                <w:lang w:eastAsia="ko-KR"/>
              </w:rPr>
            </w:pPr>
            <w:r>
              <w:rPr>
                <w:szCs w:val="18"/>
                <w:lang w:eastAsia="ko-KR"/>
              </w:rPr>
              <w:t>LOS</w:t>
            </w:r>
          </w:p>
        </w:tc>
        <w:tc>
          <w:tcPr>
            <w:tcW w:w="0" w:type="auto"/>
          </w:tcPr>
          <w:p>
            <w:pPr>
              <w:pStyle w:val="134"/>
              <w:rPr>
                <w:rFonts w:ascii="Arial" w:hAnsi="Arial" w:cs="Arial"/>
                <w:sz w:val="18"/>
                <w:szCs w:val="18"/>
              </w:rPr>
            </w:pPr>
            <w:r>
              <w:rPr>
                <w:rFonts w:ascii="Arial" w:hAnsi="Arial" w:cs="Arial"/>
                <w:position w:val="-32"/>
                <w:sz w:val="18"/>
                <w:szCs w:val="18"/>
              </w:rPr>
              <w:object>
                <v:shape id="_x0000_i1042" o:spt="75" type="#_x0000_t75" style="height:37.5pt;width:180.5pt;" o:ole="t" filled="f" o:preferrelative="t" stroked="f" coordsize="21600,21600">
                  <v:path/>
                  <v:fill on="f" focussize="0,0"/>
                  <v:stroke on="f" joinstyle="miter"/>
                  <v:imagedata r:id="rId48" o:title=""/>
                  <o:lock v:ext="edit" aspectratio="t"/>
                  <w10:wrap type="none"/>
                  <w10:anchorlock/>
                </v:shape>
                <o:OLEObject Type="Embed" ProgID="Equation.3" ShapeID="_x0000_i1042" DrawAspect="Content" ObjectID="_1468075741" r:id="rId47">
                  <o:LockedField>false</o:LockedField>
                </o:OLEObject>
              </w:object>
            </w:r>
            <w:r>
              <w:rPr>
                <w:rFonts w:ascii="Arial" w:hAnsi="Arial" w:cs="Arial"/>
                <w:sz w:val="18"/>
                <w:szCs w:val="18"/>
              </w:rPr>
              <w:t>, see note 5</w:t>
            </w:r>
          </w:p>
          <w:p>
            <w:pPr>
              <w:pStyle w:val="134"/>
              <w:rPr>
                <w:rFonts w:ascii="Arial" w:hAnsi="Arial" w:cs="Arial"/>
                <w:sz w:val="18"/>
                <w:szCs w:val="18"/>
              </w:rPr>
            </w:pPr>
          </w:p>
          <w:p>
            <w:pPr>
              <w:pStyle w:val="134"/>
              <w:rPr>
                <w:rFonts w:ascii="Arial" w:hAnsi="Arial" w:eastAsia="MS Mincho" w:cs="Arial"/>
                <w:i/>
                <w:iCs/>
                <w:sz w:val="18"/>
                <w:szCs w:val="18"/>
                <w:lang w:val="en-US"/>
              </w:rPr>
            </w:pPr>
            <w:r>
              <w:rPr>
                <w:rFonts w:ascii="Arial" w:hAnsi="Arial" w:cs="Arial"/>
                <w:position w:val="-32"/>
                <w:sz w:val="18"/>
                <w:szCs w:val="18"/>
              </w:rPr>
              <w:object>
                <v:shape id="_x0000_i1043" o:spt="75" type="#_x0000_t75" style="height:37.5pt;width:275.5pt;" o:ole="t" filled="f" o:preferrelative="t" stroked="f" coordsize="21600,21600">
                  <v:path/>
                  <v:fill on="f" focussize="0,0"/>
                  <v:stroke on="f" joinstyle="miter"/>
                  <v:imagedata r:id="rId50" o:title=""/>
                  <o:lock v:ext="edit" aspectratio="t"/>
                  <w10:wrap type="none"/>
                  <w10:anchorlock/>
                </v:shape>
                <o:OLEObject Type="Embed" ProgID="Equation.3" ShapeID="_x0000_i1043" DrawAspect="Content" ObjectID="_1468075742" r:id="rId49">
                  <o:LockedField>false</o:LockedField>
                </o:OLEObject>
              </w:object>
            </w:r>
          </w:p>
          <w:p>
            <w:pPr>
              <w:pStyle w:val="134"/>
              <w:rPr>
                <w:rFonts w:ascii="Arial" w:hAnsi="Arial" w:eastAsia="MS Mincho" w:cs="Arial"/>
                <w:sz w:val="18"/>
                <w:szCs w:val="18"/>
                <w:lang w:eastAsia="ja-JP"/>
              </w:rPr>
            </w:pPr>
            <w:r>
              <w:rPr>
                <w:rFonts w:ascii="Arial" w:hAnsi="Arial" w:cs="Arial"/>
                <w:position w:val="-12"/>
                <w:sz w:val="18"/>
                <w:szCs w:val="18"/>
              </w:rPr>
              <w:object>
                <v:shape id="_x0000_i1044" o:spt="75" type="#_x0000_t75" style="height:17.5pt;width:172.5pt;" o:ole="t" filled="f" o:preferrelative="t" stroked="f" coordsize="21600,21600">
                  <v:path/>
                  <v:fill on="f" focussize="0,0"/>
                  <v:stroke on="f" joinstyle="miter"/>
                  <v:imagedata r:id="rId52" o:title=""/>
                  <o:lock v:ext="edit" aspectratio="t"/>
                  <w10:wrap type="none"/>
                  <w10:anchorlock/>
                </v:shape>
                <o:OLEObject Type="Embed" ProgID="Equation.3" ShapeID="_x0000_i1044" DrawAspect="Content" ObjectID="_1468075743" r:id="rId51">
                  <o:LockedField>false</o:LockedField>
                </o:OLEObject>
              </w:object>
            </w:r>
          </w:p>
        </w:tc>
        <w:tc>
          <w:tcPr>
            <w:tcW w:w="0" w:type="auto"/>
          </w:tcPr>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eastAsia="MS Mincho" w:cs="Arial"/>
                <w:sz w:val="18"/>
                <w:szCs w:val="18"/>
                <w:lang w:eastAsia="ja-JP"/>
              </w:rPr>
            </w:pPr>
            <w:r>
              <w:rPr>
                <w:rFonts w:ascii="Arial" w:hAnsi="Arial" w:cs="Arial"/>
                <w:position w:val="-12"/>
                <w:sz w:val="18"/>
                <w:szCs w:val="18"/>
              </w:rPr>
              <w:object>
                <v:shape id="_x0000_i1045" o:spt="75" type="#_x0000_t75" style="height:17.5pt;width:38pt;" o:ole="t" filled="f" o:preferrelative="t" stroked="f" coordsize="21600,21600">
                  <v:path/>
                  <v:fill on="f" focussize="0,0"/>
                  <v:stroke on="f" joinstyle="miter"/>
                  <v:imagedata r:id="rId54" o:title=""/>
                  <o:lock v:ext="edit" aspectratio="t"/>
                  <w10:wrap type="none"/>
                  <w10:anchorlock/>
                </v:shape>
                <o:OLEObject Type="Embed" ProgID="Equation.3" ShapeID="_x0000_i1045" DrawAspect="Content" ObjectID="_1468075744" r:id="rId53">
                  <o:LockedField>false</o:LockedField>
                </o:OLEObject>
              </w:object>
            </w:r>
          </w:p>
          <w:p>
            <w:pPr>
              <w:pStyle w:val="134"/>
              <w:jc w:val="center"/>
              <w:rPr>
                <w:rFonts w:ascii="Arial" w:hAnsi="Arial" w:eastAsia="MS Mincho" w:cs="Arial"/>
                <w:sz w:val="18"/>
                <w:szCs w:val="18"/>
                <w:lang w:eastAsia="ja-JP"/>
              </w:rPr>
            </w:pPr>
          </w:p>
          <w:p>
            <w:pPr>
              <w:pStyle w:val="134"/>
              <w:jc w:val="center"/>
              <w:rPr>
                <w:rFonts w:ascii="Arial" w:hAnsi="Arial" w:eastAsia="MS Mincho" w:cs="Arial"/>
                <w:sz w:val="18"/>
                <w:szCs w:val="18"/>
              </w:rPr>
            </w:pPr>
            <w:r>
              <w:rPr>
                <w:rFonts w:ascii="Arial" w:hAnsi="Arial" w:cs="Arial"/>
                <w:position w:val="-12"/>
                <w:sz w:val="18"/>
                <w:szCs w:val="18"/>
              </w:rPr>
              <w:object>
                <v:shape id="_x0000_i1046" o:spt="75" type="#_x0000_t75" style="height:17.5pt;width:37.5pt;" o:ole="t" filled="f" o:preferrelative="t" stroked="f" coordsize="21600,21600">
                  <v:path/>
                  <v:fill on="f" focussize="0,0"/>
                  <v:stroke on="f" joinstyle="miter"/>
                  <v:imagedata r:id="rId56" o:title=""/>
                  <o:lock v:ext="edit" aspectratio="t"/>
                  <w10:wrap type="none"/>
                  <w10:anchorlock/>
                </v:shape>
                <o:OLEObject Type="Embed" ProgID="Equation.3" ShapeID="_x0000_i1046" DrawAspect="Content" ObjectID="_1468075745" r:id="rId55">
                  <o:LockedField>false</o:LockedField>
                </o:OLEObject>
              </w:object>
            </w:r>
          </w:p>
        </w:tc>
        <w:tc>
          <w:tcPr>
            <w:tcW w:w="0" w:type="auto"/>
            <w:vMerge w:val="restart"/>
          </w:tcPr>
          <w:p>
            <w:pPr>
              <w:pStyle w:val="134"/>
              <w:rPr>
                <w:rFonts w:ascii="Arial" w:hAnsi="Arial" w:cs="Arial"/>
                <w:sz w:val="18"/>
                <w:szCs w:val="18"/>
              </w:rPr>
            </w:pPr>
            <w:r>
              <w:rPr>
                <w:rFonts w:ascii="Arial" w:hAnsi="Arial" w:cs="Arial"/>
                <w:position w:val="-12"/>
                <w:sz w:val="18"/>
                <w:szCs w:val="18"/>
              </w:rPr>
              <w:object>
                <v:shape id="_x0000_i1047" o:spt="75" type="#_x0000_t75" style="height:17.5pt;width:52.5pt;" o:ole="t" filled="f" o:preferrelative="t" stroked="f" coordsize="21600,21600">
                  <v:path/>
                  <v:fill on="f" focussize="0,0"/>
                  <v:stroke on="f" joinstyle="miter"/>
                  <v:imagedata r:id="rId58" o:title=""/>
                  <o:lock v:ext="edit" aspectratio="t"/>
                  <w10:wrap type="none"/>
                  <w10:anchorlock/>
                </v:shape>
                <o:OLEObject Type="Embed" ProgID="Equation.3" ShapeID="_x0000_i1047" DrawAspect="Content" ObjectID="_1468075746" r:id="rId57">
                  <o:LockedField>false</o:LockedField>
                </o:OLEObject>
              </w:object>
            </w:r>
          </w:p>
          <w:p>
            <w:pPr>
              <w:pStyle w:val="134"/>
              <w:rPr>
                <w:rFonts w:ascii="Arial" w:hAnsi="Arial" w:cs="Arial"/>
                <w:sz w:val="18"/>
                <w:szCs w:val="18"/>
              </w:rPr>
            </w:pPr>
            <w:r>
              <w:rPr>
                <w:rFonts w:ascii="Arial" w:hAnsi="Arial" w:cs="Arial"/>
                <w:position w:val="-12"/>
                <w:sz w:val="18"/>
                <w:szCs w:val="18"/>
              </w:rPr>
              <w:object>
                <v:shape id="_x0000_i1048" o:spt="75" type="#_x0000_t75" style="height:17.5pt;width:56pt;" o:ole="t" filled="f" o:preferrelative="t" stroked="f" coordsize="21600,21600">
                  <v:path/>
                  <v:fill on="f" focussize="0,0"/>
                  <v:stroke on="f" joinstyle="miter"/>
                  <v:imagedata r:id="rId60" o:title=""/>
                  <o:lock v:ext="edit" aspectratio="t"/>
                  <w10:wrap type="none"/>
                  <w10:anchorlock/>
                </v:shape>
                <o:OLEObject Type="Embed" ProgID="Equation.3" ShapeID="_x0000_i1048" DrawAspect="Content" ObjectID="_1468075747" r:id="rId59">
                  <o:LockedField>false</o:LockedField>
                </o:OLEObject>
              </w:object>
            </w:r>
          </w:p>
          <w:p>
            <w:pPr>
              <w:pStyle w:val="134"/>
              <w:rPr>
                <w:rFonts w:ascii="Arial" w:hAnsi="Arial" w:cs="Arial"/>
                <w:sz w:val="18"/>
                <w:szCs w:val="18"/>
              </w:rPr>
            </w:pPr>
            <w:r>
              <w:rPr>
                <w:rFonts w:ascii="Arial" w:hAnsi="Arial" w:cs="Arial"/>
                <w:position w:val="-6"/>
                <w:sz w:val="18"/>
                <w:szCs w:val="18"/>
              </w:rPr>
              <w:object>
                <v:shape id="_x0000_i1049" o:spt="75" type="#_x0000_t75" style="height:13.5pt;width:51.5pt;" o:ole="t" filled="f" o:preferrelative="t" stroked="f" coordsize="21600,21600">
                  <v:path/>
                  <v:fill on="f" focussize="0,0"/>
                  <v:stroke on="f" joinstyle="miter"/>
                  <v:imagedata r:id="rId62" o:title=""/>
                  <o:lock v:ext="edit" aspectratio="t"/>
                  <w10:wrap type="none"/>
                  <w10:anchorlock/>
                </v:shape>
                <o:OLEObject Type="Embed" ProgID="Equation.3" ShapeID="_x0000_i1049" DrawAspect="Content" ObjectID="_1468075748" r:id="rId61">
                  <o:LockedField>false</o:LockedField>
                </o:OLEObject>
              </w:object>
            </w:r>
          </w:p>
          <w:p>
            <w:pPr>
              <w:pStyle w:val="134"/>
              <w:rPr>
                <w:rFonts w:ascii="Arial" w:hAnsi="Arial" w:eastAsia="MS Mincho" w:cs="Arial"/>
                <w:sz w:val="18"/>
                <w:szCs w:val="18"/>
                <w:lang w:val="en-US"/>
              </w:rPr>
            </w:pPr>
            <w:r>
              <w:rPr>
                <w:rFonts w:ascii="Arial" w:hAnsi="Arial" w:cs="Arial"/>
                <w:position w:val="-6"/>
                <w:sz w:val="18"/>
                <w:szCs w:val="18"/>
              </w:rPr>
              <w:object>
                <v:shape id="_x0000_i1050" o:spt="75" type="#_x0000_t75" style="height:13.5pt;width:37.5pt;" o:ole="t" filled="f" o:preferrelative="t" stroked="f" coordsize="21600,21600">
                  <v:path/>
                  <v:fill on="f" focussize="0,0"/>
                  <v:stroke on="f" joinstyle="miter"/>
                  <v:imagedata r:id="rId64" o:title=""/>
                  <o:lock v:ext="edit" aspectratio="t"/>
                  <w10:wrap type="none"/>
                  <w10:anchorlock/>
                </v:shape>
                <o:OLEObject Type="Embed" ProgID="Equation.3" ShapeID="_x0000_i1050" DrawAspect="Content" ObjectID="_1468075749" r:id="rId63">
                  <o:LockedField>false</o:LockedField>
                </o:OLEObject>
              </w:object>
            </w:r>
          </w:p>
          <w:p>
            <w:pPr>
              <w:pStyle w:val="134"/>
              <w:rPr>
                <w:rFonts w:ascii="Arial" w:hAnsi="Arial" w:eastAsia="MS Mincho" w:cs="Arial"/>
                <w:sz w:val="18"/>
                <w:szCs w:val="18"/>
                <w:lang w:val="en-US" w:eastAsia="ja-JP"/>
              </w:rPr>
            </w:pPr>
            <w:r>
              <w:rPr>
                <w:rFonts w:ascii="Arial" w:hAnsi="Arial" w:eastAsia="MS Mincho" w:cs="Arial"/>
                <w:sz w:val="18"/>
                <w:szCs w:val="18"/>
                <w:lang w:val="en-US" w:eastAsia="ja-JP"/>
              </w:rPr>
              <w:t>h = avg. building height</w:t>
            </w:r>
          </w:p>
          <w:p>
            <w:pPr>
              <w:pStyle w:val="134"/>
              <w:rPr>
                <w:rFonts w:ascii="Arial" w:hAnsi="Arial" w:eastAsia="MS Mincho" w:cs="Arial"/>
                <w:sz w:val="18"/>
                <w:szCs w:val="18"/>
                <w:lang w:val="en-US" w:eastAsia="ja-JP"/>
              </w:rPr>
            </w:pPr>
            <w:r>
              <w:rPr>
                <w:rFonts w:ascii="Arial" w:hAnsi="Arial" w:eastAsia="MS Mincho" w:cs="Arial"/>
                <w:sz w:val="18"/>
                <w:szCs w:val="18"/>
                <w:lang w:val="en-US" w:eastAsia="ja-JP"/>
              </w:rPr>
              <w:t>W = avg. street width</w:t>
            </w:r>
          </w:p>
          <w:p>
            <w:pPr>
              <w:pStyle w:val="134"/>
              <w:rPr>
                <w:rFonts w:ascii="Arial" w:hAnsi="Arial" w:cs="Arial"/>
                <w:sz w:val="18"/>
                <w:szCs w:val="18"/>
              </w:rPr>
            </w:pPr>
            <w:r>
              <w:rPr>
                <w:rFonts w:ascii="Arial" w:hAnsi="Arial" w:cs="Arial"/>
                <w:sz w:val="18"/>
                <w:szCs w:val="18"/>
              </w:rPr>
              <w:t xml:space="preserve">The applicability ranges: </w:t>
            </w:r>
          </w:p>
          <w:p>
            <w:pPr>
              <w:pStyle w:val="134"/>
              <w:rPr>
                <w:rFonts w:ascii="Arial" w:hAnsi="Arial" w:cs="Arial"/>
                <w:sz w:val="18"/>
                <w:szCs w:val="18"/>
              </w:rPr>
            </w:pPr>
            <w:r>
              <w:rPr>
                <w:rFonts w:ascii="Arial" w:hAnsi="Arial" w:cs="Arial"/>
                <w:position w:val="-6"/>
                <w:sz w:val="18"/>
                <w:szCs w:val="18"/>
              </w:rPr>
              <w:object>
                <v:shape id="_x0000_i1051" o:spt="75" type="#_x0000_t75" style="height:13.5pt;width:71pt;" o:ole="t" filled="f" o:preferrelative="t" stroked="f" coordsize="21600,21600">
                  <v:path/>
                  <v:fill on="f" focussize="0,0"/>
                  <v:stroke on="f" joinstyle="miter"/>
                  <v:imagedata r:id="rId66" o:title=""/>
                  <o:lock v:ext="edit" aspectratio="t"/>
                  <w10:wrap type="none"/>
                  <w10:anchorlock/>
                </v:shape>
                <o:OLEObject Type="Embed" ProgID="Equation.3" ShapeID="_x0000_i1051" DrawAspect="Content" ObjectID="_1468075750" r:id="rId65">
                  <o:LockedField>false</o:LockedField>
                </o:OLEObject>
              </w:object>
            </w:r>
          </w:p>
          <w:p>
            <w:pPr>
              <w:pStyle w:val="134"/>
              <w:rPr>
                <w:rFonts w:ascii="Arial" w:hAnsi="Arial" w:cs="Arial"/>
                <w:sz w:val="18"/>
                <w:szCs w:val="18"/>
              </w:rPr>
            </w:pPr>
            <w:r>
              <w:rPr>
                <w:rFonts w:ascii="Arial" w:hAnsi="Arial" w:cs="Arial"/>
                <w:position w:val="-6"/>
                <w:sz w:val="18"/>
                <w:szCs w:val="18"/>
              </w:rPr>
              <w:object>
                <v:shape id="_x0000_i1052" o:spt="75" type="#_x0000_t75" style="height:13.5pt;width:75pt;" o:ole="t" filled="f" o:preferrelative="t" stroked="f" coordsize="21600,21600">
                  <v:path/>
                  <v:fill on="f" focussize="0,0"/>
                  <v:stroke on="f" joinstyle="miter"/>
                  <v:imagedata r:id="rId68" o:title=""/>
                  <o:lock v:ext="edit" aspectratio="t"/>
                  <w10:wrap type="none"/>
                  <w10:anchorlock/>
                </v:shape>
                <o:OLEObject Type="Embed" ProgID="Equation.3" ShapeID="_x0000_i1052" DrawAspect="Content" ObjectID="_1468075751" r:id="rId67">
                  <o:LockedField>false</o:LockedField>
                </o:OLEObject>
              </w:object>
            </w:r>
          </w:p>
          <w:p>
            <w:pPr>
              <w:pStyle w:val="134"/>
              <w:rPr>
                <w:rFonts w:ascii="Arial" w:hAnsi="Arial" w:cs="Arial"/>
                <w:sz w:val="18"/>
                <w:szCs w:val="18"/>
              </w:rPr>
            </w:pPr>
            <w:r>
              <w:rPr>
                <w:rFonts w:ascii="Arial" w:hAnsi="Arial" w:cs="Arial"/>
                <w:position w:val="-12"/>
                <w:sz w:val="18"/>
                <w:szCs w:val="18"/>
              </w:rPr>
              <w:object>
                <v:shape id="_x0000_i1053" o:spt="75" type="#_x0000_t75" style="height:17.5pt;width:88pt;" o:ole="t" filled="f" o:preferrelative="t" stroked="f" coordsize="21600,21600">
                  <v:path/>
                  <v:fill on="f" focussize="0,0"/>
                  <v:stroke on="f" joinstyle="miter"/>
                  <v:imagedata r:id="rId70" o:title=""/>
                  <o:lock v:ext="edit" aspectratio="t"/>
                  <w10:wrap type="none"/>
                  <w10:anchorlock/>
                </v:shape>
                <o:OLEObject Type="Embed" ProgID="Equation.3" ShapeID="_x0000_i1053" DrawAspect="Content" ObjectID="_1468075752" r:id="rId69">
                  <o:LockedField>false</o:LockedField>
                </o:OLEObject>
              </w:object>
            </w:r>
          </w:p>
          <w:p>
            <w:pPr>
              <w:pStyle w:val="134"/>
              <w:rPr>
                <w:rFonts w:ascii="Arial" w:hAnsi="Arial" w:eastAsia="MS Mincho" w:cs="Arial"/>
                <w:sz w:val="18"/>
                <w:szCs w:val="18"/>
                <w:lang w:val="en-US"/>
              </w:rPr>
            </w:pPr>
            <w:r>
              <w:rPr>
                <w:rFonts w:ascii="Arial" w:hAnsi="Arial" w:cs="Arial"/>
                <w:position w:val="-12"/>
                <w:sz w:val="18"/>
                <w:szCs w:val="18"/>
              </w:rPr>
              <w:object>
                <v:shape id="_x0000_i1054" o:spt="75" type="#_x0000_t75" style="height:17.5pt;width:78.5pt;" o:ole="t" filled="f" o:preferrelative="t" stroked="f" coordsize="21600,21600">
                  <v:path/>
                  <v:fill on="f" focussize="0,0"/>
                  <v:stroke on="f" joinstyle="miter"/>
                  <v:imagedata r:id="rId72" o:title=""/>
                  <o:lock v:ext="edit" aspectratio="t"/>
                  <w10:wrap type="none"/>
                  <w10:anchorlock/>
                </v:shape>
                <o:OLEObject Type="Embed" ProgID="Equation.3" ShapeID="_x0000_i1054" DrawAspect="Content" ObjectID="_1468075753" r:id="rId7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continue"/>
            <w:shd w:val="clear" w:color="auto" w:fill="F2F2F2"/>
            <w:textDirection w:val="btLr"/>
            <w:vAlign w:val="center"/>
          </w:tcPr>
          <w:p>
            <w:pPr>
              <w:pStyle w:val="67"/>
              <w:keepNext w:val="0"/>
              <w:keepLines w:val="0"/>
              <w:ind w:left="113" w:right="113"/>
              <w:rPr>
                <w:szCs w:val="18"/>
                <w:lang w:eastAsia="ko-KR"/>
              </w:rPr>
            </w:pPr>
          </w:p>
        </w:tc>
        <w:tc>
          <w:tcPr>
            <w:tcW w:w="0" w:type="auto"/>
            <w:shd w:val="clear" w:color="auto" w:fill="F2F2F2"/>
            <w:textDirection w:val="btLr"/>
            <w:vAlign w:val="center"/>
          </w:tcPr>
          <w:p>
            <w:pPr>
              <w:pStyle w:val="67"/>
              <w:keepNext w:val="0"/>
              <w:keepLines w:val="0"/>
              <w:ind w:left="113" w:right="113"/>
              <w:rPr>
                <w:szCs w:val="18"/>
                <w:lang w:eastAsia="ko-KR"/>
              </w:rPr>
            </w:pPr>
            <w:r>
              <w:rPr>
                <w:szCs w:val="18"/>
                <w:lang w:eastAsia="ko-KR"/>
              </w:rPr>
              <w:t>NLOS</w:t>
            </w:r>
          </w:p>
        </w:tc>
        <w:tc>
          <w:tcPr>
            <w:tcW w:w="0" w:type="auto"/>
          </w:tcPr>
          <w:p>
            <w:pPr>
              <w:pStyle w:val="134"/>
              <w:rPr>
                <w:rFonts w:ascii="Arial" w:hAnsi="Arial" w:cs="Arial"/>
                <w:sz w:val="18"/>
                <w:szCs w:val="18"/>
              </w:rPr>
            </w:pPr>
            <w:r>
              <w:rPr>
                <w:rFonts w:ascii="Arial" w:hAnsi="Arial" w:cs="Arial"/>
                <w:position w:val="-12"/>
                <w:sz w:val="18"/>
                <w:szCs w:val="18"/>
              </w:rPr>
              <w:object>
                <v:shape id="_x0000_i1055" o:spt="75" type="#_x0000_t75" style="height:17.5pt;width:199.5pt;" o:ole="t" filled="f" o:preferrelative="t" stroked="f" coordsize="21600,21600">
                  <v:path/>
                  <v:fill on="f" focussize="0,0"/>
                  <v:stroke on="f" joinstyle="miter"/>
                  <v:imagedata r:id="rId74" o:title=""/>
                  <o:lock v:ext="edit" aspectratio="t"/>
                  <w10:wrap type="none"/>
                  <w10:anchorlock/>
                </v:shape>
                <o:OLEObject Type="Embed" ProgID="Equation.3" ShapeID="_x0000_i1055" DrawAspect="Content" ObjectID="_1468075754" r:id="rId73">
                  <o:LockedField>false</o:LockedField>
                </o:OLEObject>
              </w:object>
            </w:r>
          </w:p>
          <w:p>
            <w:pPr>
              <w:pStyle w:val="134"/>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v:shape id="_x0000_i1056" o:spt="75" type="#_x0000_t75" style="height:16pt;width:85.5pt;" o:ole="t" filled="f" o:preferrelative="t" stroked="f" coordsize="21600,21600">
                  <v:path/>
                  <v:fill on="f" focussize="0,0"/>
                  <v:stroke on="f" joinstyle="miter"/>
                  <v:imagedata r:id="rId76" o:title=""/>
                  <o:lock v:ext="edit" aspectratio="t"/>
                  <w10:wrap type="none"/>
                  <w10:anchorlock/>
                </v:shape>
                <o:OLEObject Type="Embed" ProgID="Equation.3" ShapeID="_x0000_i1056" DrawAspect="Content" ObjectID="_1468075755" r:id="rId75">
                  <o:LockedField>false</o:LockedField>
                </o:OLEObject>
              </w:object>
            </w:r>
          </w:p>
          <w:p>
            <w:pPr>
              <w:pStyle w:val="134"/>
              <w:rPr>
                <w:rFonts w:ascii="Arial" w:hAnsi="Arial" w:cs="Arial"/>
                <w:sz w:val="18"/>
                <w:szCs w:val="18"/>
              </w:rPr>
            </w:pPr>
            <w:r>
              <w:rPr>
                <w:rFonts w:ascii="Arial" w:hAnsi="Arial" w:cs="Arial"/>
                <w:position w:val="-70"/>
                <w:sz w:val="18"/>
                <w:szCs w:val="18"/>
              </w:rPr>
              <w:object>
                <v:shape id="_x0000_i1057" o:spt="75" type="#_x0000_t75" style="height:76pt;width:241.5pt;" o:ole="t" filled="f" o:preferrelative="t" stroked="f" coordsize="21600,21600">
                  <v:path/>
                  <v:fill on="f" focussize="0,0"/>
                  <v:stroke on="f" joinstyle="miter"/>
                  <v:imagedata r:id="rId78" o:title=""/>
                  <o:lock v:ext="edit" aspectratio="t"/>
                  <w10:wrap type="none"/>
                  <w10:anchorlock/>
                </v:shape>
                <o:OLEObject Type="Embed" ProgID="Equation.3" ShapeID="_x0000_i1057" DrawAspect="Content" ObjectID="_1468075756" r:id="rId77">
                  <o:LockedField>false</o:LockedField>
                </o:OLEObject>
              </w:object>
            </w:r>
          </w:p>
        </w:tc>
        <w:tc>
          <w:tcPr>
            <w:tcW w:w="0" w:type="auto"/>
          </w:tcPr>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eastAsia="MS Mincho" w:cs="Arial"/>
                <w:sz w:val="18"/>
                <w:szCs w:val="18"/>
              </w:rPr>
            </w:pPr>
            <w:r>
              <w:rPr>
                <w:rFonts w:ascii="Arial" w:hAnsi="Arial" w:cs="Arial"/>
                <w:position w:val="-12"/>
                <w:sz w:val="18"/>
                <w:szCs w:val="18"/>
              </w:rPr>
              <w:object>
                <v:shape id="_x0000_i1058" o:spt="75" type="#_x0000_t75" style="height:17.5pt;width:37.5pt;" o:ole="t" filled="f" o:preferrelative="t" stroked="f" coordsize="21600,21600">
                  <v:path/>
                  <v:fill on="f" focussize="0,0"/>
                  <v:stroke on="f" joinstyle="miter"/>
                  <v:imagedata r:id="rId80" o:title=""/>
                  <o:lock v:ext="edit" aspectratio="t"/>
                  <w10:wrap type="none"/>
                  <w10:anchorlock/>
                </v:shape>
                <o:OLEObject Type="Embed" ProgID="Equation.3" ShapeID="_x0000_i1058" DrawAspect="Content" ObjectID="_1468075757" r:id="rId79">
                  <o:LockedField>false</o:LockedField>
                </o:OLEObject>
              </w:object>
            </w:r>
          </w:p>
        </w:tc>
        <w:tc>
          <w:tcPr>
            <w:tcW w:w="0" w:type="auto"/>
            <w:vMerge w:val="continue"/>
          </w:tcPr>
          <w:p>
            <w:pPr>
              <w:pStyle w:val="134"/>
              <w:rPr>
                <w:rFonts w:ascii="Arial" w:hAnsi="Arial" w:eastAsia="MS Mincho" w:cs="Arial"/>
                <w:sz w:val="18"/>
                <w:szCs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gridSpan w:val="5"/>
            <w:vAlign w:val="center"/>
          </w:tcPr>
          <w:p>
            <w:pPr>
              <w:pStyle w:val="81"/>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pPr>
              <w:pStyle w:val="81"/>
              <w:keepNext w:val="0"/>
              <w:keepLines w:val="0"/>
              <w:rPr>
                <w:rFonts w:cs="Arial"/>
                <w:szCs w:val="18"/>
                <w:lang w:val="en-US"/>
              </w:rPr>
            </w:pPr>
            <w:r>
              <w:rPr>
                <w:rFonts w:cs="Arial"/>
                <w:szCs w:val="18"/>
                <w:lang w:val="en-US" w:eastAsia="ko-KR"/>
              </w:rPr>
              <w:tab/>
            </w:r>
            <w:r>
              <w:rPr>
                <w:rFonts w:cs="Arial"/>
                <w:position w:val="-48"/>
                <w:szCs w:val="18"/>
                <w:lang w:val="en-US"/>
              </w:rPr>
              <w:object>
                <v:shape id="_x0000_i1059" o:spt="75" type="#_x0000_t75" style="height:51.5pt;width:274pt;" o:ole="t" filled="f" o:preferrelative="t" stroked="f" coordsize="21600,21600">
                  <v:path/>
                  <v:fill on="f" focussize="0,0"/>
                  <v:stroke on="f" joinstyle="miter"/>
                  <v:imagedata r:id="rId82" o:title=""/>
                  <o:lock v:ext="edit" aspectratio="t"/>
                  <w10:wrap type="none"/>
                  <w10:anchorlock/>
                </v:shape>
                <o:OLEObject Type="Embed" ProgID="Equation.3" ShapeID="_x0000_i1059" DrawAspect="Content" ObjectID="_1468075758" r:id="rId81">
                  <o:LockedField>false</o:LockedField>
                </o:OLEObject>
              </w:object>
            </w:r>
            <w:r>
              <w:rPr>
                <w:rFonts w:cs="Arial"/>
                <w:szCs w:val="18"/>
                <w:lang w:val="en-US"/>
              </w:rPr>
              <w:t>,</w:t>
            </w:r>
          </w:p>
          <w:p>
            <w:pPr>
              <w:pStyle w:val="81"/>
              <w:keepNext w:val="0"/>
              <w:keepLines w:val="0"/>
              <w:rPr>
                <w:rFonts w:cs="Arial"/>
                <w:szCs w:val="18"/>
                <w:lang w:val="en-US"/>
              </w:rPr>
            </w:pPr>
            <w:r>
              <w:rPr>
                <w:rFonts w:cs="Arial"/>
                <w:szCs w:val="18"/>
                <w:lang w:val="en-US"/>
              </w:rPr>
              <w:tab/>
            </w:r>
            <w:r>
              <w:rPr>
                <w:rFonts w:cs="Arial"/>
                <w:szCs w:val="18"/>
                <w:lang w:val="en-US"/>
              </w:rPr>
              <w:t>where</w:t>
            </w:r>
          </w:p>
          <w:p>
            <w:pPr>
              <w:pStyle w:val="81"/>
              <w:keepNext w:val="0"/>
              <w:keepLines w:val="0"/>
              <w:rPr>
                <w:rFonts w:cs="Arial"/>
                <w:szCs w:val="18"/>
                <w:lang w:val="en-US"/>
              </w:rPr>
            </w:pPr>
            <w:r>
              <w:rPr>
                <w:rFonts w:cs="Arial"/>
                <w:szCs w:val="18"/>
                <w:lang w:val="en-US"/>
              </w:rPr>
              <w:tab/>
            </w:r>
            <w:r>
              <w:rPr>
                <w:rFonts w:cs="Arial"/>
                <w:position w:val="-46"/>
                <w:szCs w:val="18"/>
                <w:lang w:val="en-US"/>
              </w:rPr>
              <w:object>
                <v:shape id="_x0000_i1060" o:spt="75" type="#_x0000_t75" style="height:51.5pt;width:226.5pt;" o:ole="t" filled="f" o:preferrelative="t" stroked="f" coordsize="21600,21600">
                  <v:path/>
                  <v:fill on="f" focussize="0,0"/>
                  <v:stroke on="f" joinstyle="miter"/>
                  <v:imagedata r:id="rId84" o:title=""/>
                  <o:lock v:ext="edit" aspectratio="t"/>
                  <w10:wrap type="none"/>
                  <w10:anchorlock/>
                </v:shape>
                <o:OLEObject Type="Embed" ProgID="Equation.3" ShapeID="_x0000_i1060" DrawAspect="Content" ObjectID="_1468075759" r:id="rId83">
                  <o:LockedField>false</o:LockedField>
                </o:OLEObject>
              </w:object>
            </w:r>
            <w:r>
              <w:rPr>
                <w:rFonts w:cs="Arial"/>
                <w:szCs w:val="18"/>
                <w:lang w:val="en-US"/>
              </w:rPr>
              <w:t xml:space="preserve">. </w:t>
            </w:r>
          </w:p>
          <w:p>
            <w:pPr>
              <w:pStyle w:val="81"/>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pPr>
              <w:pStyle w:val="81"/>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pPr>
              <w:pStyle w:val="81"/>
              <w:keepNext w:val="0"/>
              <w:keepLines w:val="0"/>
              <w:rPr>
                <w:rFonts w:cs="Arial"/>
                <w:szCs w:val="18"/>
                <w:lang w:eastAsia="zh-CN"/>
              </w:rPr>
            </w:pPr>
            <w:r>
              <w:rPr>
                <w:rFonts w:cs="Arial"/>
                <w:szCs w:val="18"/>
              </w:rPr>
              <w:t>Note 3:</w:t>
            </w:r>
            <w:r>
              <w:rPr>
                <w:rFonts w:cs="Arial"/>
                <w:szCs w:val="18"/>
              </w:rPr>
              <w:tab/>
            </w:r>
            <w:r>
              <w:rPr>
                <w:rFonts w:cs="Arial"/>
                <w:szCs w:val="18"/>
              </w:rPr>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pPr>
              <w:pStyle w:val="81"/>
              <w:keepNext w:val="0"/>
              <w:keepLines w:val="0"/>
              <w:rPr>
                <w:rFonts w:cs="Arial"/>
                <w:szCs w:val="18"/>
                <w:lang w:eastAsia="zh-CN"/>
              </w:rPr>
            </w:pPr>
            <w:r>
              <w:rPr>
                <w:rFonts w:cs="Arial"/>
                <w:szCs w:val="18"/>
              </w:rPr>
              <w:t>Note 4:</w:t>
            </w:r>
            <w:r>
              <w:rPr>
                <w:rFonts w:cs="Arial"/>
                <w:szCs w:val="18"/>
              </w:rPr>
              <w:tab/>
            </w:r>
            <w:r>
              <w:rPr>
                <w:rFonts w:cs="Arial"/>
                <w:szCs w:val="18"/>
              </w:rPr>
              <w:t>PL</w:t>
            </w:r>
            <w:r>
              <w:rPr>
                <w:rFonts w:cs="Arial"/>
                <w:szCs w:val="18"/>
                <w:vertAlign w:val="subscript"/>
              </w:rPr>
              <w:t>UMi-LOS</w:t>
            </w:r>
            <w:r>
              <w:rPr>
                <w:rFonts w:cs="Arial"/>
                <w:szCs w:val="18"/>
                <w:lang w:eastAsia="zh-CN"/>
              </w:rPr>
              <w:t xml:space="preserve"> = Pathloss of UMi-Street Canyon LOS outdoor scenario.</w:t>
            </w:r>
          </w:p>
          <w:p>
            <w:pPr>
              <w:pStyle w:val="81"/>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pPr>
              <w:pStyle w:val="81"/>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p>
      <w:pPr>
        <w:rPr>
          <w:b/>
        </w:rPr>
      </w:pPr>
      <w:r>
        <w:rPr>
          <w:rFonts w:hint="eastAsia"/>
          <w:b/>
        </w:rPr>
        <w:t>LOS probability</w:t>
      </w:r>
    </w:p>
    <w:p>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pPr>
        <w:pStyle w:val="76"/>
        <w:keepNext w:val="0"/>
        <w:keepLines w:val="0"/>
        <w:rPr>
          <w:lang w:eastAsia="ko-KR"/>
        </w:rPr>
      </w:pPr>
      <w:r>
        <w:rPr>
          <w:lang w:eastAsia="ko-KR"/>
        </w:rPr>
        <w:t>Table 6.2.5.2-2</w:t>
      </w:r>
      <w:r>
        <w:rPr>
          <w:rFonts w:hint="eastAsia"/>
          <w:lang w:eastAsia="ko-KR"/>
        </w:rPr>
        <w:t xml:space="preserve"> LOS probability</w:t>
      </w:r>
    </w:p>
    <w:tbl>
      <w:tblPr>
        <w:tblStyle w:val="49"/>
        <w:tblW w:w="0" w:type="auto"/>
        <w:tblInd w:w="3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7"/>
        <w:gridCol w:w="7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shd w:val="clear" w:color="auto" w:fill="D9D9D9"/>
          </w:tcPr>
          <w:p>
            <w:pPr>
              <w:pStyle w:val="67"/>
              <w:keepNext w:val="0"/>
              <w:keepLines w:val="0"/>
            </w:pPr>
            <w:r>
              <w:t>Scenario</w:t>
            </w:r>
          </w:p>
        </w:tc>
        <w:tc>
          <w:tcPr>
            <w:tcW w:w="7621" w:type="dxa"/>
            <w:shd w:val="clear" w:color="auto" w:fill="D9D9D9"/>
          </w:tcPr>
          <w:p>
            <w:pPr>
              <w:pStyle w:val="67"/>
              <w:keepNext w:val="0"/>
              <w:keepLines w:val="0"/>
            </w:pPr>
            <w:r>
              <w:t>LOS probability (distance is in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tcPr>
          <w:p>
            <w:pPr>
              <w:pStyle w:val="66"/>
              <w:keepNext w:val="0"/>
              <w:keepLines w:val="0"/>
            </w:pPr>
            <w:r>
              <w:t>RMa</w:t>
            </w:r>
          </w:p>
        </w:tc>
        <w:tc>
          <w:tcPr>
            <w:tcW w:w="7621" w:type="dxa"/>
          </w:tcPr>
          <w:p>
            <w:pPr>
              <w:pStyle w:val="134"/>
              <w:rPr>
                <w:rFonts w:eastAsia="MS Mincho"/>
                <w:sz w:val="20"/>
              </w:rPr>
            </w:pPr>
            <w:r>
              <w:rPr>
                <w:position w:val="-46"/>
                <w:lang w:val="en-US"/>
              </w:rPr>
              <w:object>
                <v:shape id="_x0000_i1061" o:spt="75" type="#_x0000_t75" style="height:49pt;width:193pt;" o:ole="t" filled="f" o:preferrelative="t" stroked="f" coordsize="21600,21600">
                  <v:path/>
                  <v:fill on="f" focussize="0,0"/>
                  <v:stroke on="f" joinstyle="miter"/>
                  <v:imagedata r:id="rId86" o:title=""/>
                  <o:lock v:ext="edit" aspectratio="t"/>
                  <w10:wrap type="none"/>
                  <w10:anchorlock/>
                </v:shape>
                <o:OLEObject Type="Embed" ProgID="Equation.3" ShapeID="_x0000_i1061" DrawAspect="Content" ObjectID="_1468075760" r:id="rId8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8" w:type="dxa"/>
            <w:gridSpan w:val="2"/>
          </w:tcPr>
          <w:p>
            <w:pPr>
              <w:pStyle w:val="81"/>
              <w:keepNext w:val="0"/>
              <w:keepLines w:val="0"/>
              <w:rPr>
                <w:lang w:val="en-US" w:eastAsia="ko-KR"/>
              </w:rPr>
            </w:pPr>
          </w:p>
        </w:tc>
      </w:tr>
    </w:tbl>
    <w:p>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pPr>
        <w:pStyle w:val="58"/>
        <w:tabs>
          <w:tab w:val="center" w:pos="4820"/>
          <w:tab w:val="clear" w:pos="4536"/>
        </w:tabs>
        <w:rPr>
          <w:lang w:eastAsia="ko-KR"/>
        </w:rPr>
      </w:pPr>
      <w:r>
        <w:rPr>
          <w:lang w:eastAsia="ko-KR"/>
        </w:rPr>
        <w:tab/>
      </w:r>
      <w:r>
        <w:rPr>
          <w:position w:val="-12"/>
        </w:rPr>
        <w:object>
          <v:shape id="_x0000_i1062" o:spt="75" type="#_x0000_t75" style="height:19.5pt;width:170pt;" o:ole="t" filled="f" o:preferrelative="t" stroked="f" coordsize="21600,21600">
            <v:path/>
            <v:fill on="f" focussize="0,0"/>
            <v:stroke on="f" joinstyle="miter"/>
            <v:imagedata r:id="rId88" o:title=""/>
            <o:lock v:ext="edit" aspectratio="t"/>
            <w10:wrap type="none"/>
            <w10:anchorlock/>
          </v:shape>
          <o:OLEObject Type="Embed" ProgID="Equation.3" ShapeID="_x0000_i1062" DrawAspect="Content" ObjectID="_1468075761" r:id="rId87">
            <o:LockedField>false</o:LockedField>
          </o:OLEObject>
        </w:object>
      </w:r>
      <w:r>
        <w:rPr>
          <w:lang w:eastAsia="ko-KR"/>
        </w:rPr>
        <w:tab/>
      </w:r>
      <w:r>
        <w:rPr>
          <w:lang w:eastAsia="ko-KR"/>
        </w:rPr>
        <w:t>(6.2.5.2-2)</w:t>
      </w:r>
    </w:p>
    <w:p>
      <w:pPr>
        <w:rPr>
          <w:lang w:eastAsia="ko-KR"/>
        </w:rPr>
      </w:pPr>
      <w:r>
        <w:rPr>
          <w:lang w:eastAsia="ja-JP"/>
        </w:rPr>
        <w:t xml:space="preserve">where </w:t>
      </w:r>
      <w:r>
        <w:rPr>
          <w:position w:val="-12"/>
        </w:rPr>
        <w:object>
          <v:shape id="_x0000_i1063" o:spt="75" type="#_x0000_t75" style="height:17.5pt;width:21.5pt;" o:ole="t" filled="f" o:preferrelative="t" stroked="f" coordsize="21600,21600">
            <v:path/>
            <v:fill on="f" focussize="0,0"/>
            <v:stroke on="f" joinstyle="miter"/>
            <v:imagedata r:id="rId90" o:title=""/>
            <o:lock v:ext="edit" aspectratio="t"/>
            <w10:wrap type="none"/>
            <w10:anchorlock/>
          </v:shape>
          <o:OLEObject Type="Embed" ProgID="Equation.3" ShapeID="_x0000_i1063" DrawAspect="Content" ObjectID="_1468075762" r:id="rId89">
            <o:LockedField>false</o:LockedField>
          </o:OLEObject>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v:shape id="_x0000_i1064" o:spt="75" type="#_x0000_t75" style="height:17.5pt;width:19.5pt;" o:ole="t" filled="f" o:preferrelative="t" stroked="f" coordsize="21600,21600">
            <v:path/>
            <v:fill on="f" focussize="0,0"/>
            <v:stroke on="f" joinstyle="miter"/>
            <v:imagedata r:id="rId92" o:title=""/>
            <o:lock v:ext="edit" aspectratio="t"/>
            <w10:wrap type="none"/>
            <w10:anchorlock/>
          </v:shape>
          <o:OLEObject Type="Embed" ProgID="Equation.3" ShapeID="_x0000_i1064" DrawAspect="Content" ObjectID="_1468075763" r:id="rId91">
            <o:LockedField>false</o:LockedField>
          </o:OLEObject>
        </w:object>
      </w:r>
      <w:r>
        <w:rPr>
          <w:lang w:eastAsia="zh-CN"/>
        </w:rPr>
        <w:t xml:space="preserve"> is replaced by </w:t>
      </w:r>
      <w:r>
        <w:rPr>
          <w:position w:val="-12"/>
        </w:rPr>
        <w:object>
          <v:shape id="_x0000_i1065" o:spt="75" type="#_x0000_t75" style="height:17.5pt;width:71pt;" o:ole="t" filled="f" o:preferrelative="t" stroked="f" coordsize="21600,21600">
            <v:path/>
            <v:fill on="f" focussize="0,0"/>
            <v:stroke on="f" joinstyle="miter"/>
            <v:imagedata r:id="rId94" o:title=""/>
            <o:lock v:ext="edit" aspectratio="t"/>
            <w10:wrap type="none"/>
            <w10:anchorlock/>
          </v:shape>
          <o:OLEObject Type="Embed" ProgID="Equation.3" ShapeID="_x0000_i1065" DrawAspect="Content" ObjectID="_1468075764" r:id="rId93">
            <o:LockedField>false</o:LockedField>
          </o:OLEObject>
        </w:object>
      </w:r>
      <w:r>
        <w:rPr>
          <w:rFonts w:hint="eastAsia"/>
          <w:lang w:eastAsia="zh-CN"/>
        </w:rPr>
        <w:t xml:space="preserve"> </w:t>
      </w:r>
      <w:r>
        <w:rPr>
          <w:rFonts w:hint="eastAsia"/>
          <w:lang w:eastAsia="ko-KR"/>
        </w:rPr>
        <w:t>.</w:t>
      </w:r>
      <w:r>
        <w:rPr>
          <w:lang w:eastAsia="ja-JP"/>
        </w:rPr>
        <w:t xml:space="preserve"> </w:t>
      </w:r>
      <w:r>
        <w:rPr>
          <w:position w:val="-12"/>
        </w:rPr>
        <w:object>
          <v:shape id="_x0000_i1066" o:spt="75" type="#_x0000_t75" style="height:17.5pt;width:23.5pt;" o:ole="t" filled="f" o:preferrelative="t" stroked="f" coordsize="21600,21600">
            <v:path/>
            <v:fill on="f" focussize="0,0"/>
            <v:stroke on="f" joinstyle="miter"/>
            <v:imagedata r:id="rId96" o:title=""/>
            <o:lock v:ext="edit" aspectratio="t"/>
            <w10:wrap type="none"/>
            <w10:anchorlock/>
          </v:shape>
          <o:OLEObject Type="Embed" ProgID="Equation.3" ShapeID="_x0000_i1066" DrawAspect="Content" ObjectID="_1468075765" r:id="rId95">
            <o:LockedField>false</o:LockedField>
          </o:OLEObject>
        </w:object>
      </w:r>
      <w:r>
        <w:rPr>
          <w:lang w:eastAsia="ja-JP"/>
        </w:rPr>
        <w:t xml:space="preserve"> is the building penetration loss through the external wall, </w:t>
      </w:r>
      <w:r>
        <w:rPr>
          <w:position w:val="-10"/>
        </w:rPr>
        <w:object>
          <v:shape id="_x0000_i1067" o:spt="75" type="#_x0000_t75" style="height:16pt;width:23.5pt;" o:ole="t" filled="f" o:preferrelative="t" stroked="f" coordsize="21600,21600">
            <v:path/>
            <v:fill on="f" focussize="0,0"/>
            <v:stroke on="f" joinstyle="miter"/>
            <v:imagedata r:id="rId98" o:title=""/>
            <o:lock v:ext="edit" aspectratio="t"/>
            <w10:wrap type="none"/>
            <w10:anchorlock/>
          </v:shape>
          <o:OLEObject Type="Embed" ProgID="Equation.3" ShapeID="_x0000_i1067" DrawAspect="Content" ObjectID="_1468075766" r:id="rId97">
            <o:LockedField>false</o:LockedField>
          </o:OLEObject>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pPr>
        <w:rPr>
          <w:lang w:eastAsia="ko-KR"/>
        </w:rPr>
      </w:pPr>
      <w:r>
        <w:rPr>
          <w:position w:val="-12"/>
        </w:rPr>
        <w:object>
          <v:shape id="_x0000_i1068" o:spt="75" type="#_x0000_t75" style="height:17.5pt;width:23.5pt;" o:ole="t" filled="f" o:preferrelative="t" stroked="f" coordsize="21600,21600">
            <v:path/>
            <v:fill on="f" focussize="0,0"/>
            <v:stroke on="f" joinstyle="miter"/>
            <v:imagedata r:id="rId100" o:title=""/>
            <o:lock v:ext="edit" aspectratio="t"/>
            <w10:wrap type="none"/>
            <w10:anchorlock/>
          </v:shape>
          <o:OLEObject Type="Embed" ProgID="Equation.3" ShapeID="_x0000_i1068" DrawAspect="Content" ObjectID="_1468075767" r:id="rId99">
            <o:LockedField>false</o:LockedField>
          </o:OLEObject>
        </w:object>
      </w:r>
      <w:r>
        <w:rPr>
          <w:rFonts w:hint="eastAsia"/>
          <w:lang w:eastAsia="ko-KR"/>
        </w:rPr>
        <w:t xml:space="preserve"> is characterized as:</w:t>
      </w:r>
    </w:p>
    <w:p>
      <w:pPr>
        <w:pStyle w:val="58"/>
        <w:tabs>
          <w:tab w:val="center" w:pos="4820"/>
          <w:tab w:val="clear" w:pos="4536"/>
        </w:tabs>
        <w:rPr>
          <w:lang w:eastAsia="ko-KR"/>
        </w:rPr>
      </w:pPr>
      <w:r>
        <w:rPr>
          <w:lang w:eastAsia="ko-KR"/>
        </w:rPr>
        <w:tab/>
      </w:r>
      <w:r>
        <w:object>
          <v:shape id="_x0000_i1069" o:spt="75" type="#_x0000_t75" style="height:42pt;width:199.5pt;" o:ole="t" filled="f" o:preferrelative="t" stroked="f" coordsize="21600,21600">
            <v:path/>
            <v:fill on="f" focussize="0,0"/>
            <v:stroke on="f" joinstyle="miter"/>
            <v:imagedata r:id="rId102" o:title=""/>
            <o:lock v:ext="edit" aspectratio="t"/>
            <w10:wrap type="none"/>
            <w10:anchorlock/>
          </v:shape>
          <o:OLEObject Type="Embed" ProgID="Equation.3" ShapeID="_x0000_i1069" DrawAspect="Content" ObjectID="_1468075768" r:id="rId101">
            <o:LockedField>false</o:LockedField>
          </o:OLEObject>
        </w:object>
      </w:r>
      <w:r>
        <w:rPr>
          <w:lang w:eastAsia="ko-KR"/>
        </w:rPr>
        <w:tab/>
      </w:r>
      <w:r>
        <w:rPr>
          <w:lang w:eastAsia="ko-KR"/>
        </w:rPr>
        <w:t>(6.2.5.2-3)</w:t>
      </w:r>
    </w:p>
    <w:p>
      <w:pPr>
        <w:rPr>
          <w:lang w:eastAsia="ko-KR"/>
        </w:rPr>
      </w:pPr>
      <w:r>
        <w:rPr>
          <w:position w:val="-14"/>
        </w:rPr>
        <w:object>
          <v:shape id="_x0000_i1070" o:spt="75" type="#_x0000_t75" style="height:17.5pt;width:28.5pt;" o:ole="t" filled="f" o:preferrelative="t" stroked="f" coordsize="21600,21600">
            <v:path/>
            <v:fill on="f" focussize="0,0"/>
            <v:stroke on="f" joinstyle="miter"/>
            <v:imagedata r:id="rId104" o:title=""/>
            <o:lock v:ext="edit" aspectratio="t"/>
            <w10:wrap type="none"/>
            <w10:anchorlock/>
          </v:shape>
          <o:OLEObject Type="Embed" ProgID="Equation.3" ShapeID="_x0000_i1070" DrawAspect="Content" ObjectID="_1468075769" r:id="rId103">
            <o:LockedField>false</o:LockedField>
          </o:OLEObject>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v:shape id="_x0000_i1071" o:spt="75" type="#_x0000_t75" style="height:17.5pt;width:160pt;" o:ole="t" filled="f" o:preferrelative="t" stroked="f" coordsize="21600,21600">
            <v:path/>
            <v:fill on="f" focussize="0,0"/>
            <v:stroke on="f" joinstyle="miter"/>
            <v:imagedata r:id="rId106" o:title=""/>
            <o:lock v:ext="edit" aspectratio="t"/>
            <w10:wrap type="none"/>
            <w10:anchorlock/>
          </v:shape>
          <o:OLEObject Type="Embed" ProgID="Equation.3" ShapeID="_x0000_i1071" DrawAspect="Content" ObjectID="_1468075770" r:id="rId105">
            <o:LockedField>false</o:LockedField>
          </o:OLEObject>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v:shape id="_x0000_i1072" o:spt="75" type="#_x0000_t75" style="height:17.5pt;width:13.5pt;" o:ole="t" filled="f" o:preferrelative="t" stroked="f" coordsize="21600,21600">
            <v:path/>
            <v:fill on="f" focussize="0,0"/>
            <v:stroke on="f" joinstyle="miter"/>
            <v:imagedata r:id="rId108" o:title=""/>
            <o:lock v:ext="edit" aspectratio="t"/>
            <w10:wrap type="none"/>
            <w10:anchorlock/>
          </v:shape>
          <o:OLEObject Type="Embed" ProgID="Equation.3" ShapeID="_x0000_i1072" DrawAspect="Content" ObjectID="_1468075771" r:id="rId107">
            <o:LockedField>false</o:LockedField>
          </o:OLEObject>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v:shape id="_x0000_i1073" o:spt="75" type="#_x0000_t75" style="height:34pt;width:45pt;" o:ole="t" filled="f" o:preferrelative="t" stroked="f" coordsize="21600,21600">
            <v:path/>
            <v:fill on="f" focussize="0,0"/>
            <v:stroke on="f" joinstyle="miter"/>
            <v:imagedata r:id="rId110" o:title=""/>
            <o:lock v:ext="edit" aspectratio="t"/>
            <w10:wrap type="none"/>
            <w10:anchorlock/>
          </v:shape>
          <o:OLEObject Type="Embed" ProgID="Equation.3" ShapeID="_x0000_i1073" DrawAspect="Content" ObjectID="_1468075772" r:id="rId109">
            <o:LockedField>false</o:LockedField>
          </o:OLEObject>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pPr>
        <w:pStyle w:val="76"/>
        <w:rPr>
          <w:lang w:eastAsia="ja-JP"/>
        </w:rPr>
      </w:pPr>
      <w:bookmarkStart w:id="198" w:name="_Ref445048671"/>
      <w:bookmarkStart w:id="199" w:name="_Ref445048576"/>
      <w:r>
        <w:rPr>
          <w:lang w:eastAsia="ja-JP"/>
        </w:rPr>
        <w:t xml:space="preserve">Table </w:t>
      </w:r>
      <w:bookmarkEnd w:id="198"/>
      <w:r>
        <w:rPr>
          <w:lang w:eastAsia="ko-KR"/>
        </w:rPr>
        <w:t>6.2.5.2-3</w:t>
      </w:r>
      <w:r>
        <w:rPr>
          <w:lang w:eastAsia="ja-JP"/>
        </w:rPr>
        <w:t>: Material penetration losses</w:t>
      </w:r>
      <w:bookmarkEnd w:id="199"/>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8"/>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D9D9D9"/>
            <w:vAlign w:val="center"/>
          </w:tcPr>
          <w:p>
            <w:pPr>
              <w:pStyle w:val="67"/>
              <w:rPr>
                <w:lang w:eastAsia="ja-JP"/>
              </w:rPr>
            </w:pPr>
            <w:r>
              <w:rPr>
                <w:lang w:eastAsia="ja-JP"/>
              </w:rPr>
              <w:t>Material</w:t>
            </w:r>
          </w:p>
        </w:tc>
        <w:tc>
          <w:tcPr>
            <w:tcW w:w="2237" w:type="dxa"/>
            <w:shd w:val="clear" w:color="auto" w:fill="D9D9D9"/>
            <w:vAlign w:val="center"/>
          </w:tcPr>
          <w:p>
            <w:pPr>
              <w:pStyle w:val="67"/>
              <w:rPr>
                <w:lang w:eastAsia="ja-JP"/>
              </w:rPr>
            </w:pPr>
            <w:r>
              <w:rPr>
                <w:lang w:eastAsia="ja-JP"/>
              </w:rPr>
              <w:t>Penetration loss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Standard multi-pane glass</w:t>
            </w:r>
          </w:p>
        </w:tc>
        <w:tc>
          <w:tcPr>
            <w:tcW w:w="2237" w:type="dxa"/>
            <w:shd w:val="clear" w:color="auto" w:fill="auto"/>
            <w:vAlign w:val="center"/>
          </w:tcPr>
          <w:p>
            <w:pPr>
              <w:pStyle w:val="66"/>
              <w:rPr>
                <w:rFonts w:cs="Arial"/>
                <w:lang w:eastAsia="ko-KR"/>
              </w:rPr>
            </w:pPr>
            <w:r>
              <w:rPr>
                <w:position w:val="-14"/>
              </w:rPr>
              <w:object>
                <v:shape id="_x0000_i1074" o:spt="75" type="#_x0000_t75" style="height:19.5pt;width:78.5pt;" o:ole="t" filled="f" o:preferrelative="t" stroked="f" coordsize="21600,21600">
                  <v:path/>
                  <v:fill on="f" focussize="0,0"/>
                  <v:stroke on="f" joinstyle="miter"/>
                  <v:imagedata r:id="rId112" o:title=""/>
                  <o:lock v:ext="edit" aspectratio="t"/>
                  <w10:wrap type="none"/>
                  <w10:anchorlock/>
                </v:shape>
                <o:OLEObject Type="Embed" ProgID="Equation.3" ShapeID="_x0000_i1074" DrawAspect="Content" ObjectID="_1468075773" r:id="rId11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IRR glass</w:t>
            </w:r>
          </w:p>
        </w:tc>
        <w:tc>
          <w:tcPr>
            <w:tcW w:w="2237" w:type="dxa"/>
            <w:shd w:val="clear" w:color="auto" w:fill="auto"/>
            <w:vAlign w:val="center"/>
          </w:tcPr>
          <w:p>
            <w:pPr>
              <w:pStyle w:val="66"/>
              <w:rPr>
                <w:rFonts w:cs="Arial"/>
                <w:lang w:eastAsia="ja-JP"/>
              </w:rPr>
            </w:pPr>
            <w:r>
              <w:rPr>
                <w:position w:val="-14"/>
              </w:rPr>
              <w:object>
                <v:shape id="_x0000_i1075" o:spt="75" type="#_x0000_t75" style="height:19.5pt;width:93.5pt;" o:ole="t" filled="f" o:preferrelative="t" stroked="f" coordsize="21600,21600">
                  <v:path/>
                  <v:fill on="f" focussize="0,0"/>
                  <v:stroke on="f" joinstyle="miter"/>
                  <v:imagedata r:id="rId114" o:title=""/>
                  <o:lock v:ext="edit" aspectratio="t"/>
                  <w10:wrap type="none"/>
                  <w10:anchorlock/>
                </v:shape>
                <o:OLEObject Type="Embed" ProgID="Equation.3" ShapeID="_x0000_i1075" DrawAspect="Content" ObjectID="_1468075774" r:id="rId11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Concrete</w:t>
            </w:r>
          </w:p>
        </w:tc>
        <w:tc>
          <w:tcPr>
            <w:tcW w:w="2237" w:type="dxa"/>
            <w:shd w:val="clear" w:color="auto" w:fill="auto"/>
            <w:vAlign w:val="center"/>
          </w:tcPr>
          <w:p>
            <w:pPr>
              <w:pStyle w:val="66"/>
              <w:rPr>
                <w:rFonts w:cs="Arial"/>
                <w:lang w:eastAsia="ko-KR"/>
              </w:rPr>
            </w:pPr>
            <w:r>
              <w:rPr>
                <w:position w:val="-12"/>
              </w:rPr>
              <w:object>
                <v:shape id="_x0000_i1076" o:spt="75" type="#_x0000_t75" style="height:17.5pt;width:78.5pt;" o:ole="t" filled="f" o:preferrelative="t" stroked="f" coordsize="21600,21600">
                  <v:path/>
                  <v:fill on="f" focussize="0,0"/>
                  <v:stroke on="f" joinstyle="miter"/>
                  <v:imagedata r:id="rId116" o:title=""/>
                  <o:lock v:ext="edit" aspectratio="t"/>
                  <w10:wrap type="none"/>
                  <w10:anchorlock/>
                </v:shape>
                <o:OLEObject Type="Embed" ProgID="Equation.3" ShapeID="_x0000_i1076" DrawAspect="Content" ObjectID="_1468075775" r:id="rId11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ko-KR"/>
              </w:rPr>
            </w:pPr>
            <w:r>
              <w:rPr>
                <w:lang w:eastAsia="ko-KR"/>
              </w:rPr>
              <w:t>Wood</w:t>
            </w:r>
          </w:p>
        </w:tc>
        <w:tc>
          <w:tcPr>
            <w:tcW w:w="2237" w:type="dxa"/>
            <w:shd w:val="clear" w:color="auto" w:fill="auto"/>
            <w:vAlign w:val="center"/>
          </w:tcPr>
          <w:p>
            <w:pPr>
              <w:pStyle w:val="66"/>
              <w:rPr>
                <w:rFonts w:cs="Arial"/>
                <w:lang w:eastAsia="ja-JP"/>
              </w:rPr>
            </w:pPr>
            <w:r>
              <w:rPr>
                <w:position w:val="-12"/>
              </w:rPr>
              <w:object>
                <v:shape id="_x0000_i1077" o:spt="75" type="#_x0000_t75" style="height:17.5pt;width:101pt;" o:ole="t" filled="f" o:preferrelative="t" stroked="f" coordsize="21600,21600">
                  <v:path/>
                  <v:fill on="f" focussize="0,0"/>
                  <v:stroke on="f" joinstyle="miter"/>
                  <v:imagedata r:id="rId118" o:title=""/>
                  <o:lock v:ext="edit" aspectratio="t"/>
                  <w10:wrap type="none"/>
                  <w10:anchorlock/>
                </v:shape>
                <o:OLEObject Type="Embed" ProgID="Equation.3" ShapeID="_x0000_i1077" DrawAspect="Content" ObjectID="_1468075776" r:id="rId11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544" w:type="dxa"/>
            <w:gridSpan w:val="2"/>
            <w:shd w:val="clear" w:color="auto" w:fill="auto"/>
            <w:vAlign w:val="center"/>
          </w:tcPr>
          <w:p>
            <w:pPr>
              <w:pStyle w:val="81"/>
            </w:pPr>
            <w:r>
              <w:rPr>
                <w:lang w:eastAsia="ko-KR"/>
              </w:rPr>
              <w:t>Note:</w:t>
            </w:r>
            <w:r>
              <w:tab/>
            </w:r>
            <w:r>
              <w:rPr>
                <w:lang w:eastAsia="ko-KR"/>
              </w:rPr>
              <w:t>f is in G</w:t>
            </w:r>
            <w:r>
              <w:rPr>
                <w:rFonts w:hint="eastAsia"/>
                <w:lang w:eastAsia="ko-KR"/>
              </w:rPr>
              <w:t>H</w:t>
            </w:r>
            <w:r>
              <w:rPr>
                <w:lang w:eastAsia="ko-KR"/>
              </w:rPr>
              <w:t>z</w:t>
            </w:r>
          </w:p>
        </w:tc>
      </w:tr>
    </w:tbl>
    <w:p>
      <w:pPr>
        <w:rPr>
          <w:lang w:eastAsia="ko-KR"/>
        </w:rPr>
      </w:pPr>
    </w:p>
    <w:p>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v:shape id="_x0000_i1078" o:spt="75" type="#_x0000_t75" style="height:17.5pt;width:23.5pt;" o:ole="t" filled="f" o:preferrelative="t" stroked="f" coordsize="21600,21600">
            <v:path/>
            <v:fill on="f" focussize="0,0"/>
            <v:stroke on="f" joinstyle="miter"/>
            <v:imagedata r:id="rId120" o:title=""/>
            <o:lock v:ext="edit" aspectratio="t"/>
            <w10:wrap type="none"/>
            <w10:anchorlock/>
          </v:shape>
          <o:OLEObject Type="Embed" ProgID="Equation.3" ShapeID="_x0000_i1078" DrawAspect="Content" ObjectID="_1468075777" r:id="rId119">
            <o:LockedField>false</o:LockedField>
          </o:OLEObject>
        </w:object>
      </w:r>
      <w:r>
        <w:rPr>
          <w:rFonts w:hint="eastAsia"/>
          <w:lang w:eastAsia="ko-KR"/>
        </w:rPr>
        <w:t xml:space="preserve">, </w:t>
      </w:r>
      <w:r>
        <w:rPr>
          <w:position w:val="-10"/>
        </w:rPr>
        <w:object>
          <v:shape id="_x0000_i1079" o:spt="75" type="#_x0000_t75" style="height:16pt;width:23.5pt;" o:ole="t" filled="f" o:preferrelative="t" stroked="f" coordsize="21600,21600">
            <v:path/>
            <v:fill on="f" focussize="0,0"/>
            <v:stroke on="f" joinstyle="miter"/>
            <v:imagedata r:id="rId98" o:title=""/>
            <o:lock v:ext="edit" aspectratio="t"/>
            <w10:wrap type="none"/>
            <w10:anchorlock/>
          </v:shape>
          <o:OLEObject Type="Embed" ProgID="Equation.3" ShapeID="_x0000_i1079" DrawAspect="Content" ObjectID="_1468075778" r:id="rId121">
            <o:LockedField>false</o:LockedField>
          </o:OLEObject>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pPr>
        <w:pStyle w:val="76"/>
        <w:rPr>
          <w:lang w:eastAsia="ko-KR"/>
        </w:rPr>
      </w:pPr>
      <w:bookmarkStart w:id="200" w:name="_Ref445049023"/>
      <w:r>
        <w:rPr>
          <w:lang w:eastAsia="ja-JP"/>
        </w:rPr>
        <w:t xml:space="preserve">Table </w:t>
      </w:r>
      <w:bookmarkEnd w:id="200"/>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4196"/>
        <w:gridCol w:w="1306"/>
        <w:gridCol w:w="1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tcPr>
          <w:p>
            <w:pPr>
              <w:pStyle w:val="67"/>
              <w:rPr>
                <w:lang w:eastAsia="ja-JP"/>
              </w:rPr>
            </w:pPr>
            <w:r>
              <w:rPr>
                <w:lang w:eastAsia="ja-JP"/>
              </w:rPr>
              <w:t> </w:t>
            </w:r>
          </w:p>
        </w:tc>
        <w:tc>
          <w:tcPr>
            <w:tcW w:w="0" w:type="auto"/>
            <w:shd w:val="clear" w:color="auto" w:fill="D9D9D9"/>
          </w:tcPr>
          <w:p>
            <w:pPr>
              <w:pStyle w:val="67"/>
              <w:rPr>
                <w:lang w:eastAsia="ja-JP"/>
              </w:rPr>
            </w:pPr>
            <w:r>
              <w:rPr>
                <w:lang w:eastAsia="ja-JP"/>
              </w:rPr>
              <w:t>Path loss through external wall:</w:t>
            </w:r>
          </w:p>
          <w:p>
            <w:pPr>
              <w:pStyle w:val="67"/>
              <w:rPr>
                <w:lang w:eastAsia="ja-JP"/>
              </w:rPr>
            </w:pPr>
            <w:r>
              <w:rPr>
                <w:position w:val="-12"/>
              </w:rPr>
              <w:object>
                <v:shape id="_x0000_i1080" o:spt="75" type="#_x0000_t75" style="height:17.5pt;width:23.5pt;" o:ole="t" filled="f" o:preferrelative="t" stroked="f" coordsize="21600,21600">
                  <v:path/>
                  <v:fill on="f" focussize="0,0"/>
                  <v:stroke on="f" joinstyle="miter"/>
                  <v:imagedata r:id="rId123" o:title=""/>
                  <o:lock v:ext="edit" aspectratio="t"/>
                  <w10:wrap type="none"/>
                  <w10:anchorlock/>
                </v:shape>
                <o:OLEObject Type="Embed" ProgID="Equation.3" ShapeID="_x0000_i1080" DrawAspect="Content" ObjectID="_1468075779" r:id="rId122">
                  <o:LockedField>false</o:LockedField>
                </o:OLEObject>
              </w:object>
            </w:r>
            <w:r>
              <w:t xml:space="preserve"> in</w:t>
            </w:r>
            <w:r>
              <w:rPr>
                <w:lang w:eastAsia="ja-JP"/>
              </w:rPr>
              <w:t xml:space="preserve"> [dB]</w:t>
            </w:r>
          </w:p>
        </w:tc>
        <w:tc>
          <w:tcPr>
            <w:tcW w:w="0" w:type="auto"/>
            <w:shd w:val="clear" w:color="auto" w:fill="D9D9D9"/>
          </w:tcPr>
          <w:p>
            <w:pPr>
              <w:pStyle w:val="67"/>
              <w:rPr>
                <w:lang w:eastAsia="ja-JP"/>
              </w:rPr>
            </w:pPr>
            <w:r>
              <w:rPr>
                <w:lang w:eastAsia="ja-JP"/>
              </w:rPr>
              <w:t>Indoor loss:</w:t>
            </w:r>
          </w:p>
          <w:p>
            <w:pPr>
              <w:pStyle w:val="67"/>
              <w:rPr>
                <w:lang w:eastAsia="ja-JP"/>
              </w:rPr>
            </w:pPr>
            <w:r>
              <w:rPr>
                <w:position w:val="-10"/>
              </w:rPr>
              <w:object>
                <v:shape id="_x0000_i1081" o:spt="75" type="#_x0000_t75" style="height:16pt;width:23.5pt;" o:ole="t" filled="f" o:preferrelative="t" stroked="f" coordsize="21600,21600">
                  <v:path/>
                  <v:fill on="f" focussize="0,0"/>
                  <v:stroke on="f" joinstyle="miter"/>
                  <v:imagedata r:id="rId125" o:title=""/>
                  <o:lock v:ext="edit" aspectratio="t"/>
                  <w10:wrap type="none"/>
                  <w10:anchorlock/>
                </v:shape>
                <o:OLEObject Type="Embed" ProgID="Equation.3" ShapeID="_x0000_i1081" DrawAspect="Content" ObjectID="_1468075780" r:id="rId124">
                  <o:LockedField>false</o:LockedField>
                </o:OLEObject>
              </w:object>
            </w:r>
            <w:r>
              <w:rPr>
                <w:lang w:eastAsia="ja-JP"/>
              </w:rPr>
              <w:t xml:space="preserve"> in [dB]</w:t>
            </w:r>
          </w:p>
        </w:tc>
        <w:tc>
          <w:tcPr>
            <w:tcW w:w="0" w:type="auto"/>
            <w:shd w:val="clear" w:color="auto" w:fill="D9D9D9"/>
          </w:tcPr>
          <w:p>
            <w:pPr>
              <w:pStyle w:val="67"/>
              <w:rPr>
                <w:lang w:eastAsia="ja-JP"/>
              </w:rPr>
            </w:pPr>
            <w:r>
              <w:rPr>
                <w:lang w:eastAsia="ja-JP"/>
              </w:rPr>
              <w:t>Standard deviation:</w:t>
            </w:r>
          </w:p>
          <w:p>
            <w:pPr>
              <w:pStyle w:val="67"/>
              <w:rPr>
                <w:lang w:eastAsia="ja-JP"/>
              </w:rPr>
            </w:pPr>
            <w:r>
              <w:rPr>
                <w:lang w:eastAsia="ja-JP"/>
              </w:rPr>
              <w:t>σ</w:t>
            </w:r>
            <w:r>
              <w:rPr>
                <w:i/>
                <w:szCs w:val="18"/>
                <w:vertAlign w:val="subscript"/>
              </w:rPr>
              <w:t>P</w:t>
            </w:r>
            <w:r>
              <w:rPr>
                <w:lang w:eastAsia="ja-JP"/>
              </w:rPr>
              <w:t xml:space="preserve">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8"/>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pPr>
              <w:pStyle w:val="66"/>
              <w:rPr>
                <w:rFonts w:cs="Arial"/>
                <w:lang w:eastAsia="ja-JP"/>
              </w:rPr>
            </w:pPr>
            <w:r>
              <w:rPr>
                <w:position w:val="-36"/>
                <w:lang w:eastAsia="ko-KR"/>
              </w:rPr>
              <w:object>
                <v:shape id="_x0000_i1082" o:spt="75" type="#_x0000_t75" style="height:42pt;width:190pt;" o:ole="t" filled="f" o:preferrelative="t" stroked="f" coordsize="21600,21600">
                  <v:path/>
                  <v:fill on="f" focussize="0,0"/>
                  <v:stroke on="f" joinstyle="miter"/>
                  <v:imagedata r:id="rId127" o:title=""/>
                  <o:lock v:ext="edit" aspectratio="t"/>
                  <w10:wrap type="none"/>
                  <w10:anchorlock/>
                </v:shape>
                <o:OLEObject Type="Embed" ProgID="Equation.3" ShapeID="_x0000_i1082" DrawAspect="Content" ObjectID="_1468075781" r:id="rId126">
                  <o:LockedField>false</o:LockedField>
                </o:OLEObject>
              </w:object>
            </w:r>
          </w:p>
        </w:tc>
        <w:tc>
          <w:tcPr>
            <w:tcW w:w="0" w:type="auto"/>
            <w:shd w:val="clear" w:color="auto" w:fill="auto"/>
            <w:vAlign w:val="center"/>
          </w:tcPr>
          <w:p>
            <w:pPr>
              <w:pStyle w:val="66"/>
              <w:rPr>
                <w:lang w:eastAsia="ko-KR"/>
              </w:rPr>
            </w:pPr>
            <w:r>
              <w:rPr>
                <w:lang w:eastAsia="ja-JP"/>
              </w:rPr>
              <w:t xml:space="preserve">0.5 </w:t>
            </w:r>
            <w:r>
              <w:rPr>
                <w:position w:val="-10"/>
              </w:rPr>
              <w:object>
                <v:shape id="_x0000_i1084"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4" DrawAspect="Content" ObjectID="_1468075782" r:id="rId128">
                  <o:LockedField>false</o:LockedField>
                </o:OLEObject>
              </w:object>
            </w:r>
          </w:p>
        </w:tc>
        <w:tc>
          <w:tcPr>
            <w:tcW w:w="0" w:type="auto"/>
            <w:shd w:val="clear" w:color="auto" w:fill="auto"/>
            <w:vAlign w:val="center"/>
          </w:tcPr>
          <w:p>
            <w:pPr>
              <w:pStyle w:val="66"/>
              <w:rPr>
                <w:rFonts w:cs="Arial"/>
                <w:lang w:eastAsia="ko-KR"/>
              </w:rPr>
            </w:pPr>
            <w:r>
              <w:rPr>
                <w:rFonts w:hint="eastAsia" w:cs="Arial"/>
                <w:lang w:eastAsia="ko-KR"/>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8"/>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pPr>
              <w:pStyle w:val="66"/>
            </w:pPr>
            <w:r>
              <w:rPr>
                <w:position w:val="-36"/>
                <w:lang w:eastAsia="ko-KR"/>
              </w:rPr>
              <w:object>
                <v:shape id="_x0000_i1085" o:spt="75" type="#_x0000_t75" style="height:42pt;width:199pt;" o:ole="t" filled="f" o:preferrelative="t" stroked="f" coordsize="21600,21600">
                  <v:path/>
                  <v:fill on="f" focussize="0,0"/>
                  <v:stroke on="f" joinstyle="miter"/>
                  <v:imagedata r:id="rId131" o:title=""/>
                  <o:lock v:ext="edit" aspectratio="t"/>
                  <w10:wrap type="none"/>
                  <w10:anchorlock/>
                </v:shape>
                <o:OLEObject Type="Embed" ProgID="Equation.3" ShapeID="_x0000_i1085" DrawAspect="Content" ObjectID="_1468075783" r:id="rId130">
                  <o:LockedField>false</o:LockedField>
                </o:OLEObject>
              </w:object>
            </w:r>
          </w:p>
        </w:tc>
        <w:tc>
          <w:tcPr>
            <w:tcW w:w="0" w:type="auto"/>
            <w:shd w:val="clear" w:color="auto" w:fill="auto"/>
            <w:vAlign w:val="center"/>
          </w:tcPr>
          <w:p>
            <w:pPr>
              <w:pStyle w:val="66"/>
              <w:rPr>
                <w:lang w:eastAsia="ja-JP"/>
              </w:rPr>
            </w:pPr>
            <w:r>
              <w:rPr>
                <w:lang w:eastAsia="ja-JP"/>
              </w:rPr>
              <w:t xml:space="preserve">0.5 </w:t>
            </w:r>
            <w:r>
              <w:rPr>
                <w:position w:val="-10"/>
              </w:rPr>
              <w:object>
                <v:shape id="_x0000_i1086"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6" DrawAspect="Content" ObjectID="_1468075784" r:id="rId132">
                  <o:LockedField>false</o:LockedField>
                </o:OLEObject>
              </w:object>
            </w:r>
          </w:p>
        </w:tc>
        <w:tc>
          <w:tcPr>
            <w:tcW w:w="0" w:type="auto"/>
            <w:shd w:val="clear" w:color="auto" w:fill="auto"/>
            <w:vAlign w:val="center"/>
          </w:tcPr>
          <w:p>
            <w:pPr>
              <w:pStyle w:val="66"/>
              <w:rPr>
                <w:rFonts w:cs="Arial"/>
                <w:lang w:eastAsia="ko-KR"/>
              </w:rPr>
            </w:pPr>
            <w:r>
              <w:rPr>
                <w:rFonts w:hint="eastAsia" w:cs="Arial"/>
                <w:lang w:eastAsia="ko-KR"/>
              </w:rPr>
              <w:t>6.5</w:t>
            </w:r>
          </w:p>
        </w:tc>
      </w:tr>
    </w:tbl>
    <w:p>
      <w:pPr>
        <w:rPr>
          <w:lang w:eastAsia="ko-KR"/>
        </w:rPr>
      </w:pPr>
    </w:p>
    <w:p>
      <w:pPr>
        <w:rPr>
          <w:lang w:eastAsia="ko-KR"/>
        </w:rPr>
      </w:pPr>
      <w:r>
        <w:rPr>
          <w:position w:val="-10"/>
        </w:rPr>
        <w:object>
          <v:shape id="_x0000_i1087"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7" DrawAspect="Content" ObjectID="_1468075785" r:id="rId133">
            <o:LockedField>false</o:LockedField>
          </o:OLEObject>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v:shape id="_x0000_i1088"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8" DrawAspect="Content" ObjectID="_1468075786" r:id="rId134">
            <o:LockedField>false</o:LockedField>
          </o:OLEObject>
        </w:object>
      </w:r>
      <w:r>
        <w:t xml:space="preserve"> </w:t>
      </w:r>
      <w:r>
        <w:rPr>
          <w:rFonts w:hint="eastAsia"/>
          <w:lang w:eastAsia="ko-KR"/>
        </w:rPr>
        <w:t>shall be UT-specifically generated.</w:t>
      </w:r>
    </w:p>
    <w:p>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pPr>
        <w:rPr>
          <w:bCs/>
        </w:rPr>
      </w:pPr>
      <w:r>
        <w:rPr>
          <w:rFonts w:hint="eastAsia"/>
          <w:b w:val="0"/>
          <w:bCs/>
          <w:lang w:eastAsia="ko-KR"/>
        </w:rPr>
        <w:t>Only the low-loss model is applicable to RMa.</w:t>
      </w:r>
    </w:p>
    <w:p>
      <w:pPr>
        <w:pStyle w:val="5"/>
      </w:pPr>
      <w:bookmarkStart w:id="201" w:name="_Toc25684"/>
      <w:bookmarkStart w:id="202" w:name="_Toc6308"/>
      <w:bookmarkStart w:id="203" w:name="_Toc133498134"/>
      <w:bookmarkStart w:id="204" w:name="_Toc20729"/>
      <w:bookmarkStart w:id="205" w:name="_Toc21252"/>
      <w:bookmarkStart w:id="206" w:name="_Toc18735"/>
      <w:r>
        <w:rPr>
          <w:rFonts w:hint="eastAsia"/>
        </w:rPr>
        <w:t xml:space="preserve">6.2.5.3 </w:t>
      </w:r>
      <w:r>
        <w:t>Propagation model between ATG BS and TN BS</w:t>
      </w:r>
      <w:bookmarkEnd w:id="201"/>
      <w:bookmarkEnd w:id="202"/>
      <w:bookmarkEnd w:id="203"/>
      <w:bookmarkEnd w:id="204"/>
      <w:bookmarkEnd w:id="205"/>
      <w:bookmarkEnd w:id="206"/>
    </w:p>
    <w:p>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pPr>
        <w:pStyle w:val="5"/>
      </w:pPr>
      <w:bookmarkStart w:id="207" w:name="_Toc9778"/>
      <w:bookmarkStart w:id="208" w:name="_Toc13703"/>
      <w:bookmarkStart w:id="209" w:name="_Toc20807"/>
      <w:bookmarkStart w:id="210" w:name="_Toc29549"/>
      <w:bookmarkStart w:id="211" w:name="_Toc7836"/>
      <w:bookmarkStart w:id="212" w:name="_Toc133498135"/>
      <w:r>
        <w:rPr>
          <w:rFonts w:hint="eastAsia"/>
        </w:rPr>
        <w:t xml:space="preserve">6.2.5.4 </w:t>
      </w:r>
      <w:r>
        <w:t>Propagation model between ATG BS and TN UE</w:t>
      </w:r>
      <w:bookmarkEnd w:id="207"/>
      <w:bookmarkEnd w:id="208"/>
      <w:bookmarkEnd w:id="209"/>
      <w:bookmarkEnd w:id="210"/>
      <w:bookmarkEnd w:id="211"/>
      <w:bookmarkEnd w:id="212"/>
    </w:p>
    <w:p>
      <w:r>
        <w:rPr>
          <w:lang w:eastAsia="zh-CN"/>
        </w:rPr>
        <w:t>The propagation model between ATG BS and TN UE is same as the propagation model between TN BS and TN UE in clause 6.2.5.2</w:t>
      </w:r>
    </w:p>
    <w:p>
      <w:pPr>
        <w:pStyle w:val="5"/>
      </w:pPr>
      <w:bookmarkStart w:id="213" w:name="_Toc133498136"/>
      <w:bookmarkStart w:id="214" w:name="_Toc17180"/>
      <w:bookmarkStart w:id="215" w:name="_Toc10359"/>
      <w:bookmarkStart w:id="216" w:name="_Toc14199"/>
      <w:bookmarkStart w:id="217" w:name="_Toc23146"/>
      <w:bookmarkStart w:id="218" w:name="_Toc1919"/>
      <w:r>
        <w:rPr>
          <w:rFonts w:hint="eastAsia"/>
        </w:rPr>
        <w:t xml:space="preserve">6.2.5.5 </w:t>
      </w:r>
      <w:r>
        <w:t>Propagation model between TN BS and ATG UE</w:t>
      </w:r>
      <w:bookmarkEnd w:id="213"/>
      <w:bookmarkEnd w:id="214"/>
      <w:bookmarkEnd w:id="215"/>
      <w:bookmarkEnd w:id="216"/>
      <w:bookmarkEnd w:id="217"/>
      <w:bookmarkEnd w:id="218"/>
    </w:p>
    <w:p>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pPr>
        <w:pStyle w:val="5"/>
      </w:pPr>
      <w:bookmarkStart w:id="219" w:name="_Toc17811"/>
      <w:bookmarkStart w:id="220" w:name="_Toc9095"/>
      <w:bookmarkStart w:id="221" w:name="_Toc133498137"/>
      <w:bookmarkStart w:id="222" w:name="_Toc9384"/>
      <w:bookmarkStart w:id="223" w:name="_Toc30971"/>
      <w:bookmarkStart w:id="224" w:name="_Toc13402"/>
      <w:r>
        <w:rPr>
          <w:rFonts w:hint="eastAsia"/>
          <w:lang w:eastAsia="zh-CN"/>
        </w:rPr>
        <w:t xml:space="preserve">6.2.5.6 </w:t>
      </w:r>
      <w:r>
        <w:t>Propagation model between ATG BS and ATG UE</w:t>
      </w:r>
      <w:bookmarkEnd w:id="219"/>
      <w:bookmarkEnd w:id="220"/>
      <w:bookmarkEnd w:id="221"/>
      <w:bookmarkEnd w:id="222"/>
      <w:bookmarkEnd w:id="223"/>
      <w:bookmarkEnd w:id="224"/>
    </w:p>
    <w:p>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pPr>
        <w:pStyle w:val="4"/>
        <w:rPr>
          <w:lang w:eastAsia="zh-CN"/>
        </w:rPr>
      </w:pPr>
      <w:bookmarkStart w:id="225" w:name="_Toc169"/>
      <w:bookmarkStart w:id="226" w:name="_Toc24093"/>
      <w:bookmarkStart w:id="227" w:name="_Toc9892"/>
      <w:bookmarkStart w:id="228" w:name="_Toc21713"/>
      <w:bookmarkStart w:id="229" w:name="_Toc133498138"/>
      <w:bookmarkStart w:id="230" w:name="_Toc26040"/>
      <w:r>
        <w:rPr>
          <w:rFonts w:hint="eastAsia"/>
          <w:lang w:eastAsia="zh-CN"/>
        </w:rPr>
        <w:t xml:space="preserve">6.2.6 </w:t>
      </w:r>
      <w:r>
        <w:rPr>
          <w:lang w:eastAsia="zh-CN"/>
        </w:rPr>
        <w:t>Transmission power control model</w:t>
      </w:r>
      <w:bookmarkEnd w:id="225"/>
      <w:bookmarkEnd w:id="226"/>
      <w:bookmarkEnd w:id="227"/>
      <w:bookmarkEnd w:id="228"/>
      <w:bookmarkEnd w:id="229"/>
      <w:bookmarkEnd w:id="230"/>
    </w:p>
    <w:p>
      <w:pPr>
        <w:pStyle w:val="5"/>
      </w:pPr>
      <w:bookmarkStart w:id="231" w:name="_Toc11903"/>
      <w:bookmarkStart w:id="232" w:name="_Toc133498139"/>
      <w:bookmarkStart w:id="233" w:name="_Toc19774"/>
      <w:bookmarkStart w:id="234" w:name="_Toc26713"/>
      <w:bookmarkStart w:id="235" w:name="_Toc14696"/>
      <w:bookmarkStart w:id="236" w:name="_Toc8511"/>
      <w:r>
        <w:rPr>
          <w:rFonts w:hint="eastAsia"/>
        </w:rPr>
        <w:t xml:space="preserve">6.2.6.1 </w:t>
      </w:r>
      <w:r>
        <w:t>TN UL TPC</w:t>
      </w:r>
      <w:bookmarkEnd w:id="231"/>
      <w:bookmarkEnd w:id="232"/>
      <w:bookmarkEnd w:id="233"/>
      <w:bookmarkEnd w:id="234"/>
      <w:bookmarkEnd w:id="235"/>
      <w:bookmarkEnd w:id="236"/>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8"/>
        <w:jc w:val="center"/>
        <w:rPr>
          <w:rFonts w:eastAsia="SimSun"/>
          <w:lang w:eastAsia="zh-CN"/>
        </w:rPr>
      </w:pPr>
      <w:r>
        <w:rPr>
          <w:rFonts w:eastAsia="SimSun"/>
          <w:kern w:val="2"/>
          <w:sz w:val="21"/>
          <w:szCs w:val="22"/>
          <w:lang w:val="en-US" w:eastAsia="zh-CN"/>
        </w:rPr>
        <w:object>
          <v:shape id="_x0000_i1089" o:spt="75" type="#_x0000_t75" style="height:44pt;width:180.5pt;" o:ole="t" fillcolor="#00CC99" filled="f" o:preferrelative="t" stroked="f" coordsize="21600,21600">
            <v:path/>
            <v:fill on="f" focussize="0,0"/>
            <v:stroke on="f" joinstyle="miter"/>
            <v:imagedata r:id="rId136" o:title=""/>
            <o:lock v:ext="edit" aspectratio="t"/>
            <w10:wrap type="none"/>
            <w10:anchorlock/>
          </v:shape>
          <o:OLEObject Type="Embed" ProgID="Equation.3" ShapeID="_x0000_i1089" DrawAspect="Content" ObjectID="_1468075787" r:id="rId135">
            <o:LockedField>false</o:LockedField>
          </o:OLEObject>
        </w:object>
      </w:r>
    </w:p>
    <w:p>
      <w:r>
        <w:t xml:space="preserve">where: </w:t>
      </w:r>
    </w:p>
    <w:p>
      <w:pPr>
        <w:pStyle w:val="74"/>
      </w:pPr>
      <w:r>
        <w:t>-</w:t>
      </w:r>
      <w:r>
        <w:tab/>
      </w:r>
      <w:r>
        <w:t>P</w:t>
      </w:r>
      <w:r>
        <w:rPr>
          <w:vertAlign w:val="subscript"/>
        </w:rPr>
        <w:t>max</w:t>
      </w:r>
      <w:r>
        <w:t xml:space="preserve"> = 23dBm, </w:t>
      </w:r>
    </w:p>
    <w:p>
      <w:pPr>
        <w:pStyle w:val="74"/>
      </w:pPr>
      <w:r>
        <w:t>-</w:t>
      </w:r>
      <w:r>
        <w:tab/>
      </w:r>
      <w:r>
        <w:t>R</w:t>
      </w:r>
      <w:r>
        <w:rPr>
          <w:vertAlign w:val="subscript"/>
        </w:rPr>
        <w:t>min</w:t>
      </w:r>
      <w:r>
        <w:t xml:space="preserve"> = </w:t>
      </w:r>
      <w:r>
        <w:rPr>
          <w:rFonts w:hint="eastAsia"/>
          <w:lang w:eastAsia="zh-CN"/>
        </w:rPr>
        <w:t>-</w:t>
      </w:r>
      <w:r>
        <w:t xml:space="preserve">40dBm, </w:t>
      </w:r>
    </w:p>
    <w:p>
      <w:pPr>
        <w:pStyle w:val="74"/>
      </w:pPr>
      <w:r>
        <w:t>-</w:t>
      </w:r>
      <w:r>
        <w:tab/>
      </w:r>
      <w:r>
        <w:t>CL</w:t>
      </w:r>
      <w:r>
        <w:rPr>
          <w:vertAlign w:val="subscript"/>
        </w:rPr>
        <w:t>x-ile</w:t>
      </w:r>
      <w:r>
        <w:t xml:space="preserve"> and γ are set as following:</w:t>
      </w:r>
    </w:p>
    <w:p>
      <w:pPr>
        <w:pStyle w:val="74"/>
        <w:ind w:firstLine="0"/>
        <w:rPr>
          <w:lang w:eastAsia="ja-JP"/>
        </w:rPr>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r>
        <w:t>-</w:t>
      </w:r>
      <w:r>
        <w:tab/>
      </w:r>
      <w:r>
        <w:t>γ</w:t>
      </w:r>
      <w:r>
        <w:rPr>
          <w:lang w:eastAsia="ja-JP"/>
        </w:rPr>
        <w:t xml:space="preserve"> = 1 For uplink scenario.</w:t>
      </w:r>
    </w:p>
    <w:p>
      <w:pPr>
        <w:pStyle w:val="5"/>
      </w:pPr>
      <w:bookmarkStart w:id="237" w:name="_Toc2497"/>
      <w:bookmarkStart w:id="238" w:name="_Toc133498140"/>
      <w:bookmarkStart w:id="239" w:name="_Toc31891"/>
      <w:bookmarkStart w:id="240" w:name="_Toc28185"/>
      <w:bookmarkStart w:id="241" w:name="_Toc27191"/>
      <w:bookmarkStart w:id="242" w:name="_Toc29207"/>
      <w:r>
        <w:rPr>
          <w:rFonts w:hint="eastAsia"/>
        </w:rPr>
        <w:t xml:space="preserve">6.2.6.2 </w:t>
      </w:r>
      <w:r>
        <w:t>TN DL TPC</w:t>
      </w:r>
      <w:bookmarkEnd w:id="237"/>
      <w:bookmarkEnd w:id="238"/>
      <w:bookmarkEnd w:id="239"/>
      <w:bookmarkEnd w:id="240"/>
      <w:bookmarkEnd w:id="241"/>
      <w:bookmarkEnd w:id="242"/>
    </w:p>
    <w:p>
      <w:r>
        <w:rPr>
          <w:lang w:eastAsia="zh-CN"/>
        </w:rPr>
        <w:t>For downlink scenario, no power control scheme is applied.</w:t>
      </w:r>
    </w:p>
    <w:p>
      <w:pPr>
        <w:pStyle w:val="5"/>
      </w:pPr>
      <w:bookmarkStart w:id="243" w:name="_Toc29338"/>
      <w:bookmarkStart w:id="244" w:name="_Toc28299"/>
      <w:bookmarkStart w:id="245" w:name="_Toc133498141"/>
      <w:bookmarkStart w:id="246" w:name="_Toc19640"/>
      <w:bookmarkStart w:id="247" w:name="_Toc23239"/>
      <w:bookmarkStart w:id="248" w:name="_Toc943"/>
      <w:r>
        <w:rPr>
          <w:rFonts w:hint="eastAsia"/>
        </w:rPr>
        <w:t xml:space="preserve">6.2.6.3 </w:t>
      </w:r>
      <w:r>
        <w:t>ATG UL TPC</w:t>
      </w:r>
      <w:bookmarkEnd w:id="243"/>
      <w:bookmarkEnd w:id="244"/>
      <w:bookmarkEnd w:id="245"/>
      <w:bookmarkEnd w:id="246"/>
      <w:bookmarkEnd w:id="247"/>
      <w:bookmarkEnd w:id="248"/>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8"/>
        <w:jc w:val="center"/>
        <w:rPr>
          <w:rFonts w:eastAsia="SimSun"/>
          <w:lang w:eastAsia="zh-CN"/>
        </w:rPr>
      </w:pPr>
      <w:r>
        <w:rPr>
          <w:rFonts w:eastAsia="SimSun"/>
          <w:kern w:val="2"/>
          <w:sz w:val="21"/>
          <w:szCs w:val="22"/>
          <w:lang w:val="en-US" w:eastAsia="zh-CN"/>
        </w:rPr>
        <w:object>
          <v:shape id="_x0000_i1090" o:spt="75" type="#_x0000_t75" style="height:44pt;width:180.5pt;" o:ole="t" fillcolor="#00CC99" filled="f" o:preferrelative="t" stroked="f" coordsize="21600,21600">
            <v:path/>
            <v:fill on="f" focussize="0,0"/>
            <v:stroke on="f" joinstyle="miter"/>
            <v:imagedata r:id="rId136" o:title=""/>
            <o:lock v:ext="edit" aspectratio="t"/>
            <w10:wrap type="none"/>
            <w10:anchorlock/>
          </v:shape>
          <o:OLEObject Type="Embed" ProgID="Equation.3" ShapeID="_x0000_i1090" DrawAspect="Content" ObjectID="_1468075788" r:id="rId137">
            <o:LockedField>false</o:LockedField>
          </o:OLEObject>
        </w:object>
      </w:r>
    </w:p>
    <w:p>
      <w:r>
        <w:t xml:space="preserve">where: </w:t>
      </w:r>
    </w:p>
    <w:p>
      <w:pPr>
        <w:pStyle w:val="74"/>
      </w:pPr>
      <w:r>
        <w:t>-</w:t>
      </w:r>
      <w:r>
        <w:tab/>
      </w:r>
      <w:r>
        <w:t>P</w:t>
      </w:r>
      <w:r>
        <w:rPr>
          <w:vertAlign w:val="subscript"/>
        </w:rPr>
        <w:t>max</w:t>
      </w:r>
      <w:r>
        <w:t xml:space="preserve"> is ATG UE maximum output power (TRP) dBm, </w:t>
      </w:r>
    </w:p>
    <w:p>
      <w:pPr>
        <w:pStyle w:val="74"/>
      </w:pPr>
      <w:r>
        <w:t>-</w:t>
      </w:r>
      <w:r>
        <w:tab/>
      </w:r>
      <w:r>
        <w:t>R</w:t>
      </w:r>
      <w:r>
        <w:rPr>
          <w:vertAlign w:val="subscript"/>
        </w:rPr>
        <w:t>min</w:t>
      </w:r>
      <w:r>
        <w:t xml:space="preserve"> is ATG UE minimum output power (TRP)</w:t>
      </w:r>
      <w:r>
        <w:rPr>
          <w:lang w:eastAsia="zh-CN"/>
        </w:rPr>
        <w:t xml:space="preserve"> </w:t>
      </w:r>
      <w:r>
        <w:t xml:space="preserve">dBm, </w:t>
      </w:r>
    </w:p>
    <w:p>
      <w:pPr>
        <w:pStyle w:val="74"/>
      </w:pPr>
      <w:r>
        <w:t>-</w:t>
      </w:r>
      <w:r>
        <w:tab/>
      </w:r>
      <w:r>
        <w:t>CL</w:t>
      </w:r>
      <w:r>
        <w:rPr>
          <w:vertAlign w:val="subscript"/>
        </w:rPr>
        <w:t>x-ile</w:t>
      </w:r>
      <w:r>
        <w:t xml:space="preserve"> and γ are set as following:</w:t>
      </w:r>
    </w:p>
    <w:p>
      <w:pPr>
        <w:pStyle w:val="74"/>
        <w:ind w:firstLine="0"/>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pPr>
        <w:pStyle w:val="74"/>
        <w:ind w:firstLine="0"/>
      </w:pPr>
      <w:r>
        <w:tab/>
      </w:r>
      <w:r>
        <w:rPr>
          <w:lang w:val="sv-SE"/>
        </w:rPr>
        <w:t>-</w:t>
      </w:r>
      <w:r>
        <w:rPr>
          <w:lang w:val="sv-SE"/>
        </w:rPr>
        <w:tab/>
      </w:r>
      <w:r>
        <w:rPr>
          <w:rFonts w:hint="eastAsia"/>
        </w:rPr>
        <w:t>SNR</w:t>
      </w:r>
      <w:r>
        <w:rPr>
          <w:vertAlign w:val="subscript"/>
        </w:rPr>
        <w:t>target</w:t>
      </w:r>
      <w:r>
        <w:t xml:space="preserve"> is the targeted UL SNR (dB).</w:t>
      </w:r>
    </w:p>
    <w:p>
      <w:pPr>
        <w:pStyle w:val="74"/>
        <w:ind w:firstLine="0"/>
      </w:pPr>
      <w:r>
        <w:tab/>
      </w:r>
      <w:r>
        <w:t>-    F is BS noise figure (dB).</w:t>
      </w:r>
    </w:p>
    <w:p>
      <w:pPr>
        <w:pStyle w:val="74"/>
        <w:ind w:firstLine="0"/>
        <w:rPr>
          <w:lang w:eastAsia="ja-JP"/>
        </w:rPr>
      </w:pPr>
      <w:r>
        <w:tab/>
      </w:r>
      <w:r>
        <w:t>-    B is UL transmission BW (Hz)</w:t>
      </w:r>
    </w:p>
    <w:p>
      <w:pPr>
        <w:rPr>
          <w:lang w:eastAsia="ja-JP"/>
        </w:rPr>
      </w:pPr>
      <w:r>
        <w:t>-</w:t>
      </w:r>
      <w:r>
        <w:tab/>
      </w:r>
      <w:r>
        <w:t>γ</w:t>
      </w:r>
      <w:r>
        <w:rPr>
          <w:lang w:eastAsia="ja-JP"/>
        </w:rPr>
        <w:t xml:space="preserve"> = 1 for uplink scenario.</w:t>
      </w:r>
    </w:p>
    <w:p>
      <w:pPr>
        <w:rPr>
          <w:rFonts w:eastAsia="SimSun"/>
          <w:lang w:eastAsia="zh-CN"/>
        </w:rPr>
      </w:pPr>
      <w:r>
        <w:rPr>
          <w:rFonts w:eastAsia="SimSun"/>
          <w:lang w:eastAsia="zh-CN"/>
        </w:rPr>
        <w:t>The specific parameters are assumed as below in table 6.2.6.3.</w:t>
      </w:r>
    </w:p>
    <w:p>
      <w:pPr>
        <w:pStyle w:val="76"/>
        <w:rPr>
          <w:lang w:eastAsia="ko-KR"/>
        </w:rPr>
      </w:pPr>
      <w:r>
        <w:rPr>
          <w:lang w:eastAsia="ja-JP"/>
        </w:rPr>
        <w:t>Table 6.2.6.3-1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0"/>
        <w:gridCol w:w="3222"/>
        <w:gridCol w:w="3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U</w:t>
            </w:r>
            <w:r>
              <w:rPr>
                <w:lang w:val="en-US"/>
              </w:rPr>
              <w:t>E UL power control parameters</w:t>
            </w:r>
          </w:p>
        </w:tc>
        <w:tc>
          <w:tcPr>
            <w:tcW w:w="3245" w:type="dxa"/>
            <w:shd w:val="clear" w:color="auto" w:fill="E7E6E6"/>
          </w:tcPr>
          <w:p>
            <w:pPr>
              <w:rPr>
                <w:lang w:val="en-US"/>
              </w:rPr>
            </w:pPr>
            <w:r>
              <w:rPr>
                <w:rFonts w:hint="eastAsia"/>
                <w:lang w:val="en-US"/>
              </w:rPr>
              <w:t>2</w:t>
            </w:r>
            <w:r>
              <w:rPr>
                <w:lang w:val="en-US"/>
              </w:rPr>
              <w:t>GHz</w:t>
            </w:r>
          </w:p>
        </w:tc>
        <w:tc>
          <w:tcPr>
            <w:tcW w:w="3275" w:type="dxa"/>
            <w:shd w:val="clear" w:color="auto" w:fill="E7E6E6"/>
          </w:tcPr>
          <w:p>
            <w:pPr>
              <w:rPr>
                <w:lang w:val="en-US"/>
              </w:rPr>
            </w:pPr>
            <w:r>
              <w:rPr>
                <w:rFonts w:hint="eastAsia"/>
                <w:lang w:val="en-US"/>
              </w:rPr>
              <w:t>4</w:t>
            </w:r>
            <w:r>
              <w:rPr>
                <w:lang w:val="en-US"/>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lang w:val="en-US"/>
              </w:rPr>
              <w:t>Target SNR</w:t>
            </w:r>
          </w:p>
        </w:tc>
        <w:tc>
          <w:tcPr>
            <w:tcW w:w="3245" w:type="dxa"/>
            <w:shd w:val="clear" w:color="auto" w:fill="auto"/>
          </w:tcPr>
          <w:p>
            <w:pPr>
              <w:rPr>
                <w:lang w:val="en-US"/>
              </w:rPr>
            </w:pPr>
            <w:r>
              <w:rPr>
                <w:rFonts w:hint="eastAsia"/>
                <w:lang w:val="en-US"/>
              </w:rPr>
              <w:t>1</w:t>
            </w:r>
            <w:r>
              <w:rPr>
                <w:lang w:val="en-US"/>
              </w:rPr>
              <w:t>5dB</w:t>
            </w:r>
          </w:p>
        </w:tc>
        <w:tc>
          <w:tcPr>
            <w:tcW w:w="3275" w:type="dxa"/>
            <w:shd w:val="clear" w:color="auto" w:fill="auto"/>
          </w:tcPr>
          <w:p>
            <w:pPr>
              <w:rPr>
                <w:lang w:val="en-US"/>
              </w:rPr>
            </w:pPr>
            <w:r>
              <w:rPr>
                <w:rFonts w:hint="eastAsia"/>
                <w:lang w:val="en-US"/>
              </w:rPr>
              <w:t>1</w:t>
            </w:r>
            <w:r>
              <w:rPr>
                <w:lang w:val="en-US"/>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P</w:t>
            </w:r>
            <w:r>
              <w:rPr>
                <w:lang w:val="en-US"/>
              </w:rPr>
              <w:t>max (TRP)</w:t>
            </w:r>
          </w:p>
        </w:tc>
        <w:tc>
          <w:tcPr>
            <w:tcW w:w="3245" w:type="dxa"/>
            <w:shd w:val="clear" w:color="auto" w:fill="auto"/>
          </w:tcPr>
          <w:p>
            <w:pPr>
              <w:rPr>
                <w:lang w:val="en-US"/>
              </w:rPr>
            </w:pPr>
            <w:r>
              <w:rPr>
                <w:rFonts w:hint="eastAsia"/>
                <w:lang w:val="en-US"/>
              </w:rPr>
              <w:t>4</w:t>
            </w:r>
            <w:r>
              <w:rPr>
                <w:lang w:val="en-US"/>
              </w:rPr>
              <w:t>0dBm</w:t>
            </w:r>
          </w:p>
        </w:tc>
        <w:tc>
          <w:tcPr>
            <w:tcW w:w="3275" w:type="dxa"/>
            <w:shd w:val="clear" w:color="auto" w:fill="auto"/>
          </w:tcPr>
          <w:p>
            <w:pPr>
              <w:rPr>
                <w:lang w:val="en-US"/>
              </w:rPr>
            </w:pPr>
            <w:r>
              <w:rPr>
                <w:rFonts w:hint="eastAsia"/>
                <w:lang w:val="en-US"/>
              </w:rPr>
              <w:t>2</w:t>
            </w:r>
            <w:r>
              <w:rPr>
                <w:lang w:val="en-US"/>
              </w:rPr>
              <w:t>3dBm for per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B</w:t>
            </w:r>
            <w:r>
              <w:rPr>
                <w:lang w:val="en-US"/>
              </w:rPr>
              <w:t>W</w:t>
            </w:r>
          </w:p>
        </w:tc>
        <w:tc>
          <w:tcPr>
            <w:tcW w:w="3245" w:type="dxa"/>
            <w:shd w:val="clear" w:color="auto" w:fill="auto"/>
          </w:tcPr>
          <w:p>
            <w:pPr>
              <w:rPr>
                <w:lang w:val="en-US"/>
              </w:rPr>
            </w:pPr>
            <w:r>
              <w:rPr>
                <w:rFonts w:hint="eastAsia"/>
                <w:lang w:val="en-US"/>
              </w:rPr>
              <w:t>2</w:t>
            </w:r>
            <w:r>
              <w:rPr>
                <w:lang w:val="en-US"/>
              </w:rPr>
              <w:t>0MHz</w:t>
            </w:r>
          </w:p>
        </w:tc>
        <w:tc>
          <w:tcPr>
            <w:tcW w:w="3275" w:type="dxa"/>
            <w:shd w:val="clear" w:color="auto" w:fill="auto"/>
          </w:tcPr>
          <w:p>
            <w:pPr>
              <w:rPr>
                <w:lang w:val="en-US"/>
              </w:rPr>
            </w:pPr>
            <w:r>
              <w:rPr>
                <w:rFonts w:hint="eastAsia"/>
                <w:lang w:val="en-US"/>
              </w:rPr>
              <w:t>1</w:t>
            </w:r>
            <w:r>
              <w:rPr>
                <w:lang w:val="en-US"/>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t>R</w:t>
            </w:r>
            <w:r>
              <w:rPr>
                <w:vertAlign w:val="subscript"/>
              </w:rPr>
              <w:t>min</w:t>
            </w:r>
          </w:p>
        </w:tc>
        <w:tc>
          <w:tcPr>
            <w:tcW w:w="3245" w:type="dxa"/>
            <w:shd w:val="clear" w:color="auto" w:fill="auto"/>
          </w:tcPr>
          <w:p>
            <w:pPr>
              <w:rPr>
                <w:lang w:val="en-US" w:eastAsia="zh-CN"/>
              </w:rPr>
            </w:pPr>
            <w:r>
              <w:rPr>
                <w:rFonts w:hint="eastAsia"/>
                <w:lang w:val="en-US" w:eastAsia="zh-CN"/>
              </w:rPr>
              <w:t>-</w:t>
            </w:r>
            <w:r>
              <w:rPr>
                <w:lang w:val="en-US" w:eastAsia="zh-CN"/>
              </w:rPr>
              <w:t>27dBm</w:t>
            </w:r>
          </w:p>
        </w:tc>
        <w:tc>
          <w:tcPr>
            <w:tcW w:w="3275" w:type="dxa"/>
            <w:shd w:val="clear" w:color="auto" w:fill="auto"/>
          </w:tcPr>
          <w:p>
            <w:pPr>
              <w:rPr>
                <w:lang w:val="en-US"/>
              </w:rPr>
            </w:pPr>
            <w:r>
              <w:rPr>
                <w:rFonts w:hint="eastAsia"/>
                <w:lang w:val="en-US" w:eastAsia="zh-CN"/>
              </w:rPr>
              <w:t>-</w:t>
            </w:r>
            <w:r>
              <w:rPr>
                <w:lang w:val="en-US" w:eastAsia="zh-CN"/>
              </w:rPr>
              <w:t>20dBm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N</w:t>
            </w:r>
            <w:r>
              <w:rPr>
                <w:lang w:val="en-US"/>
              </w:rPr>
              <w:t>F for ATG BS</w:t>
            </w:r>
          </w:p>
        </w:tc>
        <w:tc>
          <w:tcPr>
            <w:tcW w:w="3245" w:type="dxa"/>
            <w:shd w:val="clear" w:color="auto" w:fill="auto"/>
          </w:tcPr>
          <w:p>
            <w:pPr>
              <w:rPr>
                <w:lang w:val="en-US"/>
              </w:rPr>
            </w:pPr>
            <w:r>
              <w:rPr>
                <w:rFonts w:hint="eastAsia"/>
                <w:lang w:val="en-US"/>
              </w:rPr>
              <w:t>5</w:t>
            </w:r>
            <w:r>
              <w:rPr>
                <w:lang w:val="en-US"/>
              </w:rPr>
              <w:t>dB</w:t>
            </w:r>
          </w:p>
        </w:tc>
        <w:tc>
          <w:tcPr>
            <w:tcW w:w="3275" w:type="dxa"/>
            <w:shd w:val="clear" w:color="auto" w:fill="auto"/>
          </w:tcPr>
          <w:p>
            <w:pPr>
              <w:rPr>
                <w:lang w:val="en-US"/>
              </w:rPr>
            </w:pPr>
            <w:r>
              <w:rPr>
                <w:rFonts w:hint="eastAsia"/>
                <w:lang w:val="en-US"/>
              </w:rPr>
              <w:t>5</w:t>
            </w:r>
            <w:r>
              <w:rPr>
                <w:lang w:val="en-US"/>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C</w:t>
            </w:r>
            <w:r>
              <w:rPr>
                <w:lang w:val="en-US"/>
              </w:rPr>
              <w:t>Lx_ile</w:t>
            </w:r>
          </w:p>
        </w:tc>
        <w:tc>
          <w:tcPr>
            <w:tcW w:w="3245" w:type="dxa"/>
            <w:shd w:val="clear" w:color="auto" w:fill="auto"/>
          </w:tcPr>
          <w:p>
            <w:pPr>
              <w:rPr>
                <w:lang w:val="en-US"/>
              </w:rPr>
            </w:pPr>
            <w:r>
              <w:rPr>
                <w:rFonts w:hint="eastAsia"/>
                <w:lang w:val="en-US"/>
              </w:rPr>
              <w:t>1</w:t>
            </w:r>
            <w:r>
              <w:rPr>
                <w:lang w:val="en-US"/>
              </w:rPr>
              <w:t>21dB</w:t>
            </w:r>
          </w:p>
        </w:tc>
        <w:tc>
          <w:tcPr>
            <w:tcW w:w="3275" w:type="dxa"/>
            <w:shd w:val="clear" w:color="auto" w:fill="auto"/>
          </w:tcPr>
          <w:p>
            <w:pPr>
              <w:rPr>
                <w:lang w:val="en-US"/>
              </w:rPr>
            </w:pPr>
            <w:r>
              <w:rPr>
                <w:lang w:val="en-US"/>
              </w:rPr>
              <w:t>97</w:t>
            </w:r>
          </w:p>
        </w:tc>
      </w:tr>
    </w:tbl>
    <w:p/>
    <w:p>
      <w:pPr>
        <w:pStyle w:val="5"/>
      </w:pPr>
      <w:bookmarkStart w:id="249" w:name="_Toc21987"/>
      <w:bookmarkStart w:id="250" w:name="_Toc3632"/>
      <w:bookmarkStart w:id="251" w:name="_Toc11331"/>
      <w:bookmarkStart w:id="252" w:name="_Toc12229"/>
      <w:bookmarkStart w:id="253" w:name="_Toc133498142"/>
      <w:bookmarkStart w:id="254" w:name="_Toc11944"/>
      <w:r>
        <w:rPr>
          <w:rFonts w:hint="eastAsia"/>
        </w:rPr>
        <w:t xml:space="preserve">6.2.6.4 </w:t>
      </w:r>
      <w:r>
        <w:t>ATG DL TPC</w:t>
      </w:r>
      <w:bookmarkEnd w:id="249"/>
      <w:bookmarkEnd w:id="250"/>
      <w:bookmarkEnd w:id="251"/>
      <w:bookmarkEnd w:id="252"/>
      <w:bookmarkEnd w:id="253"/>
      <w:bookmarkEnd w:id="254"/>
    </w:p>
    <w:p>
      <w:r>
        <w:rPr>
          <w:lang w:eastAsia="zh-CN"/>
        </w:rPr>
        <w:t>For downlink scenario, no power control scheme is applied.</w:t>
      </w:r>
    </w:p>
    <w:p>
      <w:pPr>
        <w:pStyle w:val="4"/>
        <w:rPr>
          <w:lang w:eastAsia="zh-CN"/>
        </w:rPr>
      </w:pPr>
      <w:bookmarkStart w:id="255" w:name="_Toc2577"/>
      <w:bookmarkStart w:id="256" w:name="_Toc133498143"/>
      <w:bookmarkStart w:id="257" w:name="_Toc17483"/>
      <w:bookmarkStart w:id="258" w:name="_Toc5738"/>
      <w:bookmarkStart w:id="259" w:name="_Toc32150"/>
      <w:bookmarkStart w:id="260" w:name="_Toc10140"/>
      <w:r>
        <w:rPr>
          <w:rFonts w:hint="eastAsia"/>
          <w:lang w:eastAsia="zh-CN"/>
        </w:rPr>
        <w:t xml:space="preserve">6.2.7 </w:t>
      </w:r>
      <w:r>
        <w:rPr>
          <w:lang w:eastAsia="zh-CN"/>
        </w:rPr>
        <w:t>Received power model</w:t>
      </w:r>
      <w:bookmarkEnd w:id="255"/>
      <w:bookmarkEnd w:id="256"/>
      <w:bookmarkEnd w:id="257"/>
      <w:bookmarkEnd w:id="258"/>
      <w:bookmarkEnd w:id="259"/>
      <w:bookmarkEnd w:id="260"/>
    </w:p>
    <w:p>
      <w:pPr>
        <w:rPr>
          <w:rFonts w:eastAsia="MS Mincho"/>
          <w:lang w:eastAsia="ja-JP"/>
        </w:rPr>
      </w:pPr>
      <w:r>
        <w:rPr>
          <w:rFonts w:eastAsia="MS Mincho"/>
          <w:lang w:eastAsia="ja-JP"/>
        </w:rPr>
        <w:t>The received power in downlink and uplink scenarios is defined as below:</w:t>
      </w:r>
    </w:p>
    <w:p>
      <w:pPr>
        <w:pStyle w:val="58"/>
        <w:rPr>
          <w:rFonts w:eastAsia="MS Mincho"/>
          <w:lang w:eastAsia="ja-JP"/>
        </w:rPr>
      </w:pPr>
      <w:r>
        <w:rPr>
          <w:rFonts w:eastAsia="MS Mincho"/>
          <w:lang w:eastAsia="ja-JP"/>
        </w:rPr>
        <w:t>RX_PWR = TX_PWR – Path loss + G_TX + G_RX</w:t>
      </w:r>
    </w:p>
    <w:p>
      <w:pPr>
        <w:rPr>
          <w:rFonts w:eastAsia="MS Mincho"/>
          <w:lang w:eastAsia="ja-JP"/>
        </w:rPr>
      </w:pPr>
      <w:r>
        <w:rPr>
          <w:rFonts w:eastAsia="MS Mincho"/>
          <w:lang w:eastAsia="ja-JP"/>
        </w:rPr>
        <w:t>where:</w:t>
      </w:r>
    </w:p>
    <w:p>
      <w:pPr>
        <w:pStyle w:val="74"/>
        <w:rPr>
          <w:lang w:eastAsia="ja-JP"/>
        </w:rPr>
      </w:pPr>
      <w:r>
        <w:rPr>
          <w:lang w:eastAsia="ja-JP"/>
        </w:rPr>
        <w:t>-</w:t>
      </w:r>
      <w:r>
        <w:rPr>
          <w:lang w:eastAsia="ja-JP"/>
        </w:rPr>
        <w:tab/>
      </w:r>
      <w:r>
        <w:rPr>
          <w:lang w:eastAsia="ja-JP"/>
        </w:rPr>
        <w:t>RX_PWR is the received power</w:t>
      </w:r>
    </w:p>
    <w:p>
      <w:pPr>
        <w:pStyle w:val="74"/>
        <w:rPr>
          <w:lang w:eastAsia="ja-JP"/>
        </w:rPr>
      </w:pPr>
      <w:r>
        <w:rPr>
          <w:lang w:eastAsia="ja-JP"/>
        </w:rPr>
        <w:t>-</w:t>
      </w:r>
      <w:r>
        <w:rPr>
          <w:lang w:eastAsia="ja-JP"/>
        </w:rPr>
        <w:tab/>
      </w:r>
      <w:r>
        <w:rPr>
          <w:lang w:eastAsia="ja-JP"/>
        </w:rPr>
        <w:t>TX_PWR is the transmitted power</w:t>
      </w:r>
    </w:p>
    <w:p>
      <w:pPr>
        <w:pStyle w:val="74"/>
        <w:rPr>
          <w:lang w:eastAsia="ja-JP"/>
        </w:rPr>
      </w:pPr>
      <w:r>
        <w:rPr>
          <w:lang w:eastAsia="ja-JP"/>
        </w:rPr>
        <w:t>-</w:t>
      </w:r>
      <w:r>
        <w:rPr>
          <w:lang w:eastAsia="ja-JP"/>
        </w:rPr>
        <w:tab/>
      </w:r>
      <w:r>
        <w:rPr>
          <w:lang w:eastAsia="ja-JP"/>
        </w:rPr>
        <w:t>G_TX is the transmitter antenna gain (directional array gain)</w:t>
      </w:r>
    </w:p>
    <w:p>
      <w:pPr>
        <w:rPr>
          <w:lang w:eastAsia="zh-CN"/>
        </w:rPr>
      </w:pPr>
      <w:r>
        <w:rPr>
          <w:lang w:eastAsia="ja-JP"/>
        </w:rPr>
        <w:t>-</w:t>
      </w:r>
      <w:r>
        <w:rPr>
          <w:lang w:eastAsia="ja-JP"/>
        </w:rPr>
        <w:tab/>
      </w:r>
      <w:r>
        <w:rPr>
          <w:lang w:eastAsia="ja-JP"/>
        </w:rPr>
        <w:t>G_RX is the receiver antenna gain (directional array gain).</w:t>
      </w:r>
    </w:p>
    <w:p>
      <w:pPr>
        <w:pStyle w:val="4"/>
        <w:rPr>
          <w:lang w:eastAsia="zh-CN"/>
        </w:rPr>
      </w:pPr>
      <w:bookmarkStart w:id="261" w:name="_Toc7337"/>
      <w:bookmarkStart w:id="262" w:name="_Toc24164"/>
      <w:bookmarkStart w:id="263" w:name="_Toc15867"/>
      <w:bookmarkStart w:id="264" w:name="_Toc133498144"/>
      <w:bookmarkStart w:id="265" w:name="_Toc9202"/>
      <w:bookmarkStart w:id="266" w:name="_Toc19791"/>
      <w:r>
        <w:rPr>
          <w:rFonts w:hint="eastAsia"/>
          <w:lang w:eastAsia="zh-CN"/>
        </w:rPr>
        <w:t xml:space="preserve">6.2.8 </w:t>
      </w:r>
      <w:r>
        <w:rPr>
          <w:lang w:eastAsia="zh-CN"/>
        </w:rPr>
        <w:t>Performance metric</w:t>
      </w:r>
      <w:bookmarkEnd w:id="261"/>
      <w:bookmarkEnd w:id="262"/>
      <w:bookmarkEnd w:id="263"/>
      <w:bookmarkEnd w:id="264"/>
      <w:bookmarkEnd w:id="265"/>
      <w:bookmarkEnd w:id="266"/>
    </w:p>
    <w:p>
      <w:pPr>
        <w:rPr>
          <w:bCs/>
          <w:lang w:eastAsia="zh-CN"/>
        </w:rPr>
      </w:pPr>
      <w:r>
        <w:rPr>
          <w:bCs/>
          <w:lang w:eastAsia="zh-CN"/>
        </w:rPr>
        <w:t>For NR, the average throughput loss and 5%-ile throughput loss should be less than 5%.</w:t>
      </w:r>
    </w:p>
    <w:p>
      <w:pPr>
        <w:rPr>
          <w:bCs/>
          <w:lang w:eastAsia="zh-CN"/>
        </w:rPr>
      </w:pPr>
      <w:r>
        <w:rPr>
          <w:bCs/>
          <w:lang w:eastAsia="zh-CN"/>
        </w:rPr>
        <w:t>For ATG, the average throughput loss and 5%-ile throughput loss should be less than 5%.</w:t>
      </w:r>
    </w:p>
    <w:p>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pPr>
        <w:pStyle w:val="74"/>
        <w:numPr>
          <w:ilvl w:val="0"/>
          <w:numId w:val="6"/>
        </w:numPr>
        <w:ind w:left="420" w:hanging="420"/>
        <w:rPr>
          <w:sz w:val="24"/>
          <w:lang w:eastAsia="en-US"/>
        </w:rPr>
      </w:pPr>
      <w:r>
        <w:rPr>
          <w:rFonts w:eastAsia="Yu Mincho"/>
          <w:lang w:eastAsia="en-US" w:bidi="ar"/>
        </w:rPr>
        <w:t xml:space="preserve">5% and </w:t>
      </w:r>
      <w:r>
        <w:rPr>
          <w:rFonts w:hint="eastAsia" w:eastAsia="SimSun"/>
          <w:lang w:val="en-US" w:eastAsia="zh-CN" w:bidi="ar"/>
        </w:rPr>
        <w:t>average</w:t>
      </w:r>
      <w:r>
        <w:rPr>
          <w:rFonts w:eastAsia="Yu Mincho"/>
          <w:lang w:eastAsia="en-US" w:bidi="ar"/>
        </w:rPr>
        <w:t xml:space="preserve"> in the whole network (When TN </w:t>
      </w:r>
      <w:r>
        <w:rPr>
          <w:rFonts w:hint="eastAsia" w:eastAsia="SimSun"/>
          <w:lang w:val="en-US" w:eastAsia="zh-CN" w:bidi="ar"/>
        </w:rPr>
        <w:t xml:space="preserve">UL </w:t>
      </w:r>
      <w:r>
        <w:rPr>
          <w:rFonts w:eastAsia="Yu Mincho"/>
          <w:lang w:eastAsia="en-US" w:bidi="ar"/>
        </w:rPr>
        <w:t xml:space="preserve">as victim, 5% and </w:t>
      </w:r>
      <w:r>
        <w:rPr>
          <w:rFonts w:hint="eastAsia" w:eastAsia="SimSun"/>
          <w:lang w:val="en-US" w:eastAsia="zh-CN" w:bidi="ar"/>
        </w:rPr>
        <w:t>average</w:t>
      </w:r>
      <w:r>
        <w:rPr>
          <w:rFonts w:eastAsia="Yu Mincho"/>
          <w:lang w:eastAsia="en-US" w:bidi="ar"/>
        </w:rPr>
        <w:t xml:space="preserve"> are 5% a</w:t>
      </w:r>
      <w:r>
        <w:rPr>
          <w:rFonts w:hint="eastAsia" w:eastAsia="SimSun"/>
          <w:lang w:val="en-US" w:eastAsia="zh-CN" w:bidi="ar"/>
        </w:rPr>
        <w:t>n</w:t>
      </w:r>
      <w:r>
        <w:rPr>
          <w:rFonts w:eastAsia="Yu Mincho"/>
          <w:lang w:eastAsia="en-US" w:bidi="ar"/>
        </w:rPr>
        <w:t xml:space="preserve">d </w:t>
      </w:r>
      <w:r>
        <w:rPr>
          <w:rFonts w:hint="eastAsia" w:eastAsia="SimSun"/>
          <w:lang w:val="en-US" w:eastAsia="zh-CN" w:bidi="ar"/>
        </w:rPr>
        <w:t>average</w:t>
      </w:r>
      <w:r>
        <w:rPr>
          <w:rFonts w:eastAsia="Yu Mincho"/>
          <w:lang w:eastAsia="en-US" w:bidi="ar"/>
        </w:rPr>
        <w:t xml:space="preserve"> of the whole TN</w:t>
      </w:r>
      <w:r>
        <w:rPr>
          <w:rFonts w:hint="eastAsia" w:eastAsia="SimSun"/>
          <w:lang w:val="en-US" w:eastAsia="zh-CN" w:bidi="ar"/>
        </w:rPr>
        <w:t xml:space="preserve"> UL</w:t>
      </w:r>
      <w:r>
        <w:rPr>
          <w:rFonts w:eastAsia="Yu Mincho"/>
          <w:lang w:eastAsia="en-US" w:bidi="ar"/>
        </w:rPr>
        <w:t xml:space="preserve">. When ATG as victim, 5% and </w:t>
      </w:r>
      <w:r>
        <w:rPr>
          <w:rFonts w:hint="eastAsia" w:eastAsia="SimSun"/>
          <w:lang w:val="en-US" w:eastAsia="zh-CN" w:bidi="ar"/>
        </w:rPr>
        <w:t>average</w:t>
      </w:r>
      <w:r>
        <w:rPr>
          <w:rFonts w:eastAsia="Yu Mincho"/>
          <w:lang w:eastAsia="en-US" w:bidi="ar"/>
        </w:rPr>
        <w:t xml:space="preserve"> are the 5% and </w:t>
      </w:r>
      <w:r>
        <w:rPr>
          <w:rFonts w:hint="eastAsia" w:eastAsia="SimSun"/>
          <w:lang w:val="en-US" w:eastAsia="zh-CN" w:bidi="ar"/>
        </w:rPr>
        <w:t>average</w:t>
      </w:r>
      <w:r>
        <w:rPr>
          <w:rFonts w:eastAsia="Yu Mincho"/>
          <w:lang w:eastAsia="en-US" w:bidi="ar"/>
        </w:rPr>
        <w:t xml:space="preserve"> among all drops.)</w:t>
      </w:r>
    </w:p>
    <w:p>
      <w:pPr>
        <w:pStyle w:val="74"/>
        <w:numPr>
          <w:ilvl w:val="0"/>
          <w:numId w:val="6"/>
        </w:numPr>
        <w:ind w:left="420" w:hanging="420"/>
        <w:rPr>
          <w:sz w:val="24"/>
          <w:lang w:eastAsia="en-US"/>
        </w:rPr>
      </w:pPr>
      <w:r>
        <w:rPr>
          <w:rFonts w:eastAsia="Yu Mincho"/>
          <w:lang w:eastAsia="en-US" w:bidi="ar"/>
        </w:rPr>
        <w:t xml:space="preserve">5% and </w:t>
      </w:r>
      <w:r>
        <w:rPr>
          <w:rFonts w:hint="eastAsia" w:eastAsia="SimSun"/>
          <w:lang w:val="en-US" w:eastAsia="zh-CN" w:bidi="ar"/>
        </w:rPr>
        <w:t>average</w:t>
      </w:r>
      <w:r>
        <w:rPr>
          <w:rFonts w:eastAsia="Yu Mincho"/>
          <w:lang w:eastAsia="en-US" w:bidi="ar"/>
        </w:rPr>
        <w:t xml:space="preserve"> of users within the cell with largest throughput loss for the case of TN DL victim</w:t>
      </w:r>
    </w:p>
    <w:p>
      <w:pPr>
        <w:rPr>
          <w:rFonts w:hint="default"/>
          <w:lang w:val="en-US" w:eastAsia="zh-CN"/>
        </w:rPr>
      </w:pPr>
      <w:r>
        <w:rPr>
          <w:rFonts w:hint="eastAsia"/>
          <w:lang w:val="en-US" w:eastAsia="zh-CN"/>
        </w:rPr>
        <w:t>For non-synchronized scenario, compared wit</w:t>
      </w:r>
      <w:r>
        <w:rPr>
          <w:rFonts w:hint="eastAsia"/>
          <w:color w:val="auto"/>
          <w:lang w:val="en-US" w:eastAsia="zh-CN"/>
        </w:rPr>
        <w:t xml:space="preserve">h ATG UE-to-TN UE CLI, </w:t>
      </w:r>
      <w:r>
        <w:rPr>
          <w:rFonts w:hint="default" w:ascii="Times New Roman" w:hAnsi="Times New Roman" w:eastAsia="SimSun" w:cs="Times New Roman"/>
          <w:color w:val="auto"/>
          <w:sz w:val="20"/>
          <w:szCs w:val="24"/>
          <w:lang w:val="en-US" w:eastAsia="zh-CN" w:bidi="ar"/>
        </w:rPr>
        <w:t>ATG BS</w:t>
      </w:r>
      <w:r>
        <w:rPr>
          <w:rFonts w:hint="eastAsia" w:ascii="Times New Roman" w:hAnsi="Times New Roman" w:eastAsia="SimSun" w:cs="Times New Roman"/>
          <w:color w:val="auto"/>
          <w:sz w:val="20"/>
          <w:szCs w:val="24"/>
          <w:lang w:val="en-US" w:eastAsia="zh-CN" w:bidi="ar"/>
        </w:rPr>
        <w:t>-to-</w:t>
      </w:r>
      <w:r>
        <w:rPr>
          <w:rFonts w:hint="default" w:ascii="Times New Roman" w:hAnsi="Times New Roman" w:eastAsia="SimSun" w:cs="Times New Roman"/>
          <w:color w:val="auto"/>
          <w:sz w:val="20"/>
          <w:szCs w:val="24"/>
          <w:lang w:val="en-US" w:eastAsia="zh-CN" w:bidi="ar"/>
        </w:rPr>
        <w:t>TN BS CLI is the dominate interference</w:t>
      </w:r>
      <w:r>
        <w:rPr>
          <w:rFonts w:hint="eastAsia" w:ascii="Times New Roman" w:hAnsi="Times New Roman" w:eastAsia="SimSun" w:cs="Times New Roman"/>
          <w:color w:val="auto"/>
          <w:sz w:val="20"/>
          <w:szCs w:val="24"/>
          <w:lang w:val="en-US" w:eastAsia="zh-CN" w:bidi="ar"/>
        </w:rPr>
        <w:t>. So we only consider ATG BS-to-TN BS CLI simulation and detailed performance metric is as below:</w:t>
      </w:r>
      <w:r>
        <w:rPr>
          <w:rFonts w:hint="eastAsia"/>
          <w:color w:val="auto"/>
          <w:lang w:val="en-US" w:eastAsia="zh-CN"/>
        </w:rPr>
        <w:t xml:space="preserve"> </w:t>
      </w:r>
    </w:p>
    <w:p>
      <w:pPr>
        <w:numPr>
          <w:ilvl w:val="0"/>
          <w:numId w:val="7"/>
        </w:numPr>
        <w:ind w:left="420" w:hanging="420"/>
        <w:rPr>
          <w:rFonts w:hint="eastAsia"/>
          <w:lang w:val="en-US" w:eastAsia="zh-CN"/>
        </w:rPr>
      </w:pPr>
      <w:r>
        <w:rPr>
          <w:rFonts w:hint="eastAsia"/>
          <w:lang w:val="en-US" w:eastAsia="zh-CN"/>
        </w:rPr>
        <w:t>When TN gNB as victim, only focus on the TN sector with worst throughput loss, 5% and mean among all drops</w:t>
      </w:r>
    </w:p>
    <w:p>
      <w:pPr>
        <w:numPr>
          <w:ilvl w:val="0"/>
          <w:numId w:val="7"/>
        </w:numPr>
        <w:ind w:left="420" w:hanging="420"/>
        <w:rPr>
          <w:rFonts w:hint="eastAsia"/>
          <w:lang w:val="en-US" w:eastAsia="zh-CN"/>
        </w:rPr>
      </w:pPr>
      <w:r>
        <w:rPr>
          <w:rFonts w:hint="eastAsia"/>
          <w:lang w:val="en-US" w:eastAsia="zh-CN"/>
        </w:rPr>
        <w:t>When ATG gNB as victim, 5% and mean among all drops.</w:t>
      </w:r>
    </w:p>
    <w:p>
      <w:pPr>
        <w:rPr>
          <w:lang w:eastAsia="zh-CN"/>
        </w:rPr>
      </w:pPr>
    </w:p>
    <w:p>
      <w:pPr>
        <w:pStyle w:val="4"/>
        <w:rPr>
          <w:lang w:eastAsia="zh-CN"/>
        </w:rPr>
      </w:pPr>
      <w:bookmarkStart w:id="267" w:name="_Toc9615"/>
      <w:bookmarkStart w:id="268" w:name="_Toc5109"/>
      <w:bookmarkStart w:id="269" w:name="_Toc10249"/>
      <w:bookmarkStart w:id="270" w:name="_Toc3742"/>
      <w:bookmarkStart w:id="271" w:name="_Toc5898"/>
      <w:bookmarkStart w:id="272" w:name="_Toc133498145"/>
      <w:r>
        <w:rPr>
          <w:rFonts w:hint="eastAsia"/>
          <w:lang w:eastAsia="zh-CN"/>
        </w:rPr>
        <w:t xml:space="preserve">6.2.9 </w:t>
      </w:r>
      <w:r>
        <w:rPr>
          <w:lang w:eastAsia="zh-CN"/>
        </w:rPr>
        <w:t>Link level performance for NR ATG coexistence</w:t>
      </w:r>
      <w:bookmarkEnd w:id="267"/>
      <w:bookmarkEnd w:id="268"/>
      <w:bookmarkEnd w:id="269"/>
      <w:bookmarkEnd w:id="270"/>
      <w:bookmarkEnd w:id="271"/>
      <w:bookmarkEnd w:id="272"/>
    </w:p>
    <w:p>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pPr>
        <w:pStyle w:val="58"/>
      </w:pPr>
      <w:r>
        <w:rPr>
          <w:rFonts w:eastAsia="MS Mincho"/>
        </w:rPr>
        <w:tab/>
      </w:r>
      <w:r>
        <w:fldChar w:fldCharType="begin"/>
      </w:r>
      <w:r>
        <w:instrText xml:space="preserve"> QUOTE </w:instrText>
      </w:r>
      <w:r>
        <w:rPr>
          <w:position w:val="-32"/>
        </w:rPr>
        <w:pict>
          <v:shape id="_x0000_i1091" o:spt="75" type="#_x0000_t75" style="height:35.5pt;width:4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8" chromakey="#FFFFFF" o:title=""/>
            <o:lock v:ext="edit" aspectratio="t"/>
            <w10:wrap type="none"/>
            <w10:anchorlock/>
          </v:shape>
        </w:pict>
      </w:r>
      <w:r>
        <w:instrText xml:space="preserve"> </w:instrText>
      </w:r>
      <w:r>
        <w:fldChar w:fldCharType="end"/>
      </w:r>
      <m:oMath>
        <m:r>
          <m:rPr/>
          <w:rPr>
            <w:rFonts w:ascii="Cambria Math" w:hAnsi="Cambria Math"/>
            <w:szCs w:val="22"/>
          </w:rPr>
          <m:t xml:space="preserve"> Tℎrougℎput </m:t>
        </m:r>
        <m:d>
          <m:dPr>
            <m:ctrlPr>
              <w:rPr>
                <w:rFonts w:ascii="Cambria Math" w:hAnsi="Cambria Math" w:cs="SimSun"/>
                <w:i/>
                <w:sz w:val="24"/>
                <w:szCs w:val="22"/>
              </w:rPr>
            </m:ctrlPr>
          </m:dPr>
          <m:e>
            <m:r>
              <m:rPr/>
              <w:rPr>
                <w:rFonts w:ascii="Cambria Math" w:hAnsi="Cambria Math"/>
                <w:szCs w:val="22"/>
              </w:rPr>
              <m:t>SNIR</m:t>
            </m:r>
            <m:ctrlPr>
              <w:rPr>
                <w:rFonts w:ascii="Cambria Math" w:hAnsi="Cambria Math" w:cs="SimSun"/>
                <w:i/>
                <w:sz w:val="24"/>
                <w:szCs w:val="22"/>
              </w:rPr>
            </m:ctrlPr>
          </m:e>
        </m:d>
        <m:r>
          <m:rP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m:rPr/>
                  <w:rPr>
                    <w:rFonts w:ascii="Cambria Math" w:hAnsi="Cambria Math"/>
                    <w:szCs w:val="22"/>
                  </w:rPr>
                  <m:t>0                                  for SNIR&lt; SNI</m:t>
                </m:r>
                <m:sSub>
                  <m:sSubPr>
                    <m:ctrlPr>
                      <w:rPr>
                        <w:rFonts w:ascii="Cambria Math" w:hAnsi="Cambria Math" w:cs="SimSun"/>
                        <w:i/>
                        <w:sz w:val="24"/>
                        <w:szCs w:val="22"/>
                      </w:rPr>
                    </m:ctrlPr>
                  </m:sSubPr>
                  <m:e>
                    <m:r>
                      <m:rPr/>
                      <w:rPr>
                        <w:rFonts w:ascii="Cambria Math" w:hAnsi="Cambria Math"/>
                        <w:szCs w:val="22"/>
                      </w:rPr>
                      <m:t>R</m:t>
                    </m:r>
                    <m:ctrlPr>
                      <w:rPr>
                        <w:rFonts w:ascii="Cambria Math" w:hAnsi="Cambria Math" w:cs="SimSun"/>
                        <w:i/>
                        <w:sz w:val="24"/>
                        <w:szCs w:val="22"/>
                      </w:rPr>
                    </m:ctrlPr>
                  </m:e>
                  <m:sub>
                    <m:r>
                      <m:rPr/>
                      <w:rPr>
                        <w:rFonts w:ascii="Cambria Math" w:hAnsi="Cambria Math"/>
                        <w:szCs w:val="22"/>
                      </w:rPr>
                      <m:t>MIN</m:t>
                    </m:r>
                    <m:ctrlPr>
                      <w:rPr>
                        <w:rFonts w:ascii="Cambria Math" w:hAnsi="Cambria Math" w:cs="SimSun"/>
                        <w:i/>
                        <w:sz w:val="24"/>
                        <w:szCs w:val="22"/>
                      </w:rPr>
                    </m:ctrlPr>
                  </m:sub>
                </m:sSub>
                <m:r>
                  <m:rPr/>
                  <w:rPr>
                    <w:rFonts w:ascii="Cambria Math" w:hAnsi="Cambria Math"/>
                    <w:szCs w:val="22"/>
                  </w:rPr>
                  <m:t xml:space="preserve">                                        </m:t>
                </m:r>
                <m:ctrlPr>
                  <w:rPr>
                    <w:rFonts w:ascii="Cambria Math" w:hAnsi="Cambria Math" w:cs="SimSun"/>
                    <w:i/>
                    <w:sz w:val="24"/>
                    <w:szCs w:val="22"/>
                  </w:rPr>
                </m:ctrlPr>
              </m:e>
              <m:e>
                <m:r>
                  <m:rPr/>
                  <w:rPr>
                    <w:rFonts w:ascii="Cambria Math" w:hAnsi="Cambria Math"/>
                    <w:szCs w:val="22"/>
                  </w:rPr>
                  <m:t>∝∙S</m:t>
                </m:r>
                <m:d>
                  <m:dPr>
                    <m:ctrlPr>
                      <w:rPr>
                        <w:rFonts w:ascii="Cambria Math" w:hAnsi="Cambria Math" w:cs="SimSun"/>
                        <w:i/>
                        <w:sz w:val="24"/>
                        <w:szCs w:val="22"/>
                      </w:rPr>
                    </m:ctrlPr>
                  </m:dPr>
                  <m:e>
                    <m:r>
                      <m:rPr/>
                      <w:rPr>
                        <w:rFonts w:ascii="Cambria Math" w:hAnsi="Cambria Math"/>
                        <w:szCs w:val="22"/>
                      </w:rPr>
                      <m:t>SNIR</m:t>
                    </m:r>
                    <m:ctrlPr>
                      <w:rPr>
                        <w:rFonts w:ascii="Cambria Math" w:hAnsi="Cambria Math" w:cs="SimSun"/>
                        <w:i/>
                        <w:sz w:val="24"/>
                        <w:szCs w:val="22"/>
                      </w:rPr>
                    </m:ctrlPr>
                  </m:e>
                </m:d>
                <m:r>
                  <m:rPr/>
                  <w:rPr>
                    <w:rFonts w:ascii="Cambria Math" w:hAnsi="Cambria Math"/>
                    <w:szCs w:val="22"/>
                  </w:rPr>
                  <m:t xml:space="preserve">                     for SNI</m:t>
                </m:r>
                <m:sSub>
                  <m:sSubPr>
                    <m:ctrlPr>
                      <w:rPr>
                        <w:rFonts w:ascii="Cambria Math" w:hAnsi="Cambria Math" w:cs="SimSun"/>
                        <w:i/>
                        <w:sz w:val="24"/>
                        <w:szCs w:val="22"/>
                      </w:rPr>
                    </m:ctrlPr>
                  </m:sSubPr>
                  <m:e>
                    <m:r>
                      <m:rPr/>
                      <w:rPr>
                        <w:rFonts w:ascii="Cambria Math" w:hAnsi="Cambria Math"/>
                        <w:szCs w:val="22"/>
                      </w:rPr>
                      <m:t>R</m:t>
                    </m:r>
                    <m:ctrlPr>
                      <w:rPr>
                        <w:rFonts w:ascii="Cambria Math" w:hAnsi="Cambria Math" w:cs="SimSun"/>
                        <w:i/>
                        <w:sz w:val="24"/>
                        <w:szCs w:val="22"/>
                      </w:rPr>
                    </m:ctrlPr>
                  </m:e>
                  <m:sub>
                    <m:r>
                      <m:rPr/>
                      <w:rPr>
                        <w:rFonts w:ascii="Cambria Math" w:hAnsi="Cambria Math"/>
                        <w:szCs w:val="22"/>
                      </w:rPr>
                      <m:t>MIN</m:t>
                    </m:r>
                    <m:ctrlPr>
                      <w:rPr>
                        <w:rFonts w:ascii="Cambria Math" w:hAnsi="Cambria Math" w:cs="SimSun"/>
                        <w:i/>
                        <w:sz w:val="24"/>
                        <w:szCs w:val="22"/>
                      </w:rPr>
                    </m:ctrlPr>
                  </m:sub>
                </m:sSub>
                <m:r>
                  <m:rPr/>
                  <w:rPr>
                    <w:rFonts w:ascii="Cambria Math" w:hAnsi="Cambria Math"/>
                    <w:szCs w:val="22"/>
                  </w:rPr>
                  <m:t>≤SNIR&lt;SNI</m:t>
                </m:r>
                <m:sSub>
                  <m:sSubPr>
                    <m:ctrlPr>
                      <w:rPr>
                        <w:rFonts w:ascii="Cambria Math" w:hAnsi="Cambria Math" w:cs="SimSun"/>
                        <w:i/>
                        <w:sz w:val="24"/>
                        <w:szCs w:val="22"/>
                      </w:rPr>
                    </m:ctrlPr>
                  </m:sSubPr>
                  <m:e>
                    <m:r>
                      <m:rPr/>
                      <w:rPr>
                        <w:rFonts w:ascii="Cambria Math" w:hAnsi="Cambria Math"/>
                        <w:szCs w:val="22"/>
                      </w:rPr>
                      <m:t>R</m:t>
                    </m:r>
                    <m:ctrlPr>
                      <w:rPr>
                        <w:rFonts w:ascii="Cambria Math" w:hAnsi="Cambria Math" w:cs="SimSun"/>
                        <w:i/>
                        <w:sz w:val="24"/>
                        <w:szCs w:val="22"/>
                      </w:rPr>
                    </m:ctrlPr>
                  </m:e>
                  <m:sub>
                    <m:r>
                      <m:rPr/>
                      <w:rPr>
                        <w:rFonts w:ascii="Cambria Math" w:hAnsi="Cambria Math"/>
                        <w:szCs w:val="22"/>
                      </w:rPr>
                      <m:t>MAX</m:t>
                    </m:r>
                    <m:ctrlPr>
                      <w:rPr>
                        <w:rFonts w:ascii="Cambria Math" w:hAnsi="Cambria Math" w:cs="SimSun"/>
                        <w:i/>
                        <w:sz w:val="24"/>
                        <w:szCs w:val="22"/>
                      </w:rPr>
                    </m:ctrlPr>
                  </m:sub>
                </m:sSub>
                <m:r>
                  <m:rPr/>
                  <w:rPr>
                    <w:rFonts w:ascii="Cambria Math" w:hAnsi="Cambria Math"/>
                    <w:szCs w:val="22"/>
                  </w:rPr>
                  <m:t xml:space="preserve"> </m:t>
                </m:r>
                <m:ctrlPr>
                  <w:rPr>
                    <w:rFonts w:ascii="Cambria Math" w:hAnsi="Cambria Math" w:eastAsia="Cambria Math" w:cs="Cambria Math"/>
                    <w:i/>
                    <w:sz w:val="24"/>
                    <w:szCs w:val="24"/>
                  </w:rPr>
                </m:ctrlPr>
              </m:e>
              <m:e>
                <m:r>
                  <m:rPr/>
                  <w:rPr>
                    <w:rFonts w:ascii="Cambria Math" w:hAnsi="Cambria Math"/>
                    <w:szCs w:val="22"/>
                  </w:rPr>
                  <m:t>∝∙S</m:t>
                </m:r>
                <m:d>
                  <m:dPr>
                    <m:ctrlPr>
                      <w:rPr>
                        <w:rFonts w:ascii="Cambria Math" w:hAnsi="Cambria Math" w:cs="SimSun"/>
                        <w:i/>
                        <w:sz w:val="24"/>
                        <w:szCs w:val="22"/>
                      </w:rPr>
                    </m:ctrlPr>
                  </m:dPr>
                  <m:e>
                    <m:r>
                      <m:rPr/>
                      <w:rPr>
                        <w:rFonts w:ascii="Cambria Math" w:hAnsi="Cambria Math"/>
                        <w:szCs w:val="22"/>
                      </w:rPr>
                      <m:t>SNI</m:t>
                    </m:r>
                    <m:sSub>
                      <m:sSubPr>
                        <m:ctrlPr>
                          <w:rPr>
                            <w:rFonts w:ascii="Cambria Math" w:hAnsi="Cambria Math" w:cs="SimSun"/>
                            <w:i/>
                            <w:sz w:val="24"/>
                            <w:szCs w:val="22"/>
                          </w:rPr>
                        </m:ctrlPr>
                      </m:sSubPr>
                      <m:e>
                        <m:r>
                          <m:rPr/>
                          <w:rPr>
                            <w:rFonts w:ascii="Cambria Math" w:hAnsi="Cambria Math"/>
                            <w:szCs w:val="22"/>
                          </w:rPr>
                          <m:t>R</m:t>
                        </m:r>
                        <m:ctrlPr>
                          <w:rPr>
                            <w:rFonts w:ascii="Cambria Math" w:hAnsi="Cambria Math" w:cs="SimSun"/>
                            <w:i/>
                            <w:sz w:val="24"/>
                            <w:szCs w:val="22"/>
                          </w:rPr>
                        </m:ctrlPr>
                      </m:e>
                      <m:sub>
                        <m:r>
                          <m:rPr/>
                          <w:rPr>
                            <w:rFonts w:ascii="Cambria Math" w:hAnsi="Cambria Math"/>
                            <w:szCs w:val="22"/>
                          </w:rPr>
                          <m:t>MAX</m:t>
                        </m:r>
                        <m:ctrlPr>
                          <w:rPr>
                            <w:rFonts w:ascii="Cambria Math" w:hAnsi="Cambria Math" w:cs="SimSun"/>
                            <w:i/>
                            <w:sz w:val="24"/>
                            <w:szCs w:val="22"/>
                          </w:rPr>
                        </m:ctrlPr>
                      </m:sub>
                    </m:sSub>
                    <m:ctrlPr>
                      <w:rPr>
                        <w:rFonts w:ascii="Cambria Math" w:hAnsi="Cambria Math" w:cs="SimSun"/>
                        <w:i/>
                        <w:sz w:val="24"/>
                        <w:szCs w:val="22"/>
                      </w:rPr>
                    </m:ctrlPr>
                  </m:e>
                </m:d>
                <m:r>
                  <m:rPr/>
                  <w:rPr>
                    <w:rFonts w:ascii="Cambria Math" w:hAnsi="Cambria Math"/>
                    <w:szCs w:val="22"/>
                  </w:rPr>
                  <m:t xml:space="preserve">               for SNIR ≥ SNI</m:t>
                </m:r>
                <m:sSub>
                  <m:sSubPr>
                    <m:ctrlPr>
                      <w:rPr>
                        <w:rFonts w:ascii="Cambria Math" w:hAnsi="Cambria Math" w:cs="SimSun"/>
                        <w:i/>
                        <w:sz w:val="24"/>
                        <w:szCs w:val="22"/>
                      </w:rPr>
                    </m:ctrlPr>
                  </m:sSubPr>
                  <m:e>
                    <m:r>
                      <m:rPr/>
                      <w:rPr>
                        <w:rFonts w:ascii="Cambria Math" w:hAnsi="Cambria Math"/>
                        <w:szCs w:val="22"/>
                      </w:rPr>
                      <m:t>R</m:t>
                    </m:r>
                    <m:ctrlPr>
                      <w:rPr>
                        <w:rFonts w:ascii="Cambria Math" w:hAnsi="Cambria Math" w:cs="SimSun"/>
                        <w:i/>
                        <w:sz w:val="24"/>
                        <w:szCs w:val="22"/>
                      </w:rPr>
                    </m:ctrlPr>
                  </m:e>
                  <m:sub>
                    <m:r>
                      <m:rPr/>
                      <w:rPr>
                        <w:rFonts w:ascii="Cambria Math" w:hAnsi="Cambria Math"/>
                        <w:szCs w:val="22"/>
                      </w:rPr>
                      <m:t>MAX</m:t>
                    </m:r>
                    <m:ctrlPr>
                      <w:rPr>
                        <w:rFonts w:ascii="Cambria Math" w:hAnsi="Cambria Math" w:cs="SimSun"/>
                        <w:i/>
                        <w:sz w:val="24"/>
                        <w:szCs w:val="22"/>
                      </w:rPr>
                    </m:ctrlPr>
                  </m:sub>
                </m:sSub>
                <m:r>
                  <m:rPr/>
                  <w:rPr>
                    <w:rFonts w:ascii="Cambria Math" w:hAnsi="Cambria Math"/>
                    <w:szCs w:val="22"/>
                  </w:rPr>
                  <m:t xml:space="preserve">                        </m:t>
                </m:r>
                <m:ctrlPr>
                  <w:rPr>
                    <w:rFonts w:ascii="Cambria Math" w:hAnsi="Cambria Math" w:cs="SimSun"/>
                    <w:i/>
                    <w:sz w:val="24"/>
                    <w:szCs w:val="22"/>
                  </w:rPr>
                </m:ctrlPr>
              </m:e>
            </m:eqArr>
            <m:ctrlPr>
              <w:rPr>
                <w:rFonts w:ascii="Cambria Math" w:hAnsi="Cambria Math" w:cs="SimSun"/>
                <w:sz w:val="24"/>
                <w:szCs w:val="22"/>
              </w:rPr>
            </m:ctrlPr>
          </m:e>
        </m:d>
      </m:oMath>
    </w:p>
    <w:p>
      <w:pPr>
        <w:rPr>
          <w:rFonts w:eastAsia="MS Mincho"/>
        </w:rPr>
      </w:pPr>
      <w:r>
        <w:rPr>
          <w:rFonts w:eastAsia="MS Mincho"/>
        </w:rPr>
        <w:t>Where:</w:t>
      </w:r>
      <w:r>
        <w:rPr>
          <w:rFonts w:eastAsia="MS Mincho"/>
        </w:rPr>
        <w:tab/>
      </w:r>
    </w:p>
    <w:p>
      <w:pPr>
        <w:pStyle w:val="74"/>
      </w:pPr>
      <w:r>
        <w:t>-</w:t>
      </w:r>
      <w:r>
        <w:tab/>
      </w:r>
      <w:r>
        <w:t>S(SNIR)</w:t>
      </w:r>
      <w:r>
        <w:tab/>
      </w:r>
      <w:r>
        <w:tab/>
      </w:r>
      <w:r>
        <w:t>Shannon bound, S(SNIR) =log</w:t>
      </w:r>
      <w:r>
        <w:rPr>
          <w:vertAlign w:val="subscript"/>
        </w:rPr>
        <w:t>2</w:t>
      </w:r>
      <w:r>
        <w:t>(1+SNIR) bps/Hz</w:t>
      </w:r>
    </w:p>
    <w:p>
      <w:pPr>
        <w:pStyle w:val="74"/>
      </w:pPr>
      <w:r>
        <w:t>-</w:t>
      </w:r>
      <w:r>
        <w:tab/>
      </w:r>
      <w:r>
        <w:rPr/>
        <w:sym w:font="Symbol" w:char="F061"/>
      </w:r>
      <w:r>
        <w:tab/>
      </w:r>
      <w:r>
        <w:tab/>
      </w:r>
      <w:r>
        <w:tab/>
      </w:r>
      <w:r>
        <w:tab/>
      </w:r>
      <w:r>
        <w:t>Attenuation factor, representing implementation losses</w:t>
      </w:r>
    </w:p>
    <w:p>
      <w:pPr>
        <w:pStyle w:val="74"/>
      </w:pPr>
      <w:r>
        <w:t>-</w:t>
      </w:r>
      <w:r>
        <w:tab/>
      </w:r>
      <w:r>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pPr>
        <w:pStyle w:val="74"/>
      </w:pPr>
      <w:r>
        <w:t>-</w:t>
      </w:r>
      <w:r>
        <w:tab/>
      </w:r>
      <w:r>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pPr>
        <w:pStyle w:val="74"/>
        <w:rPr>
          <w:lang w:eastAsia="ja-JP"/>
        </w:rPr>
      </w:pPr>
      <w:r>
        <w:rPr>
          <w:lang w:eastAsia="ja-JP"/>
        </w:rPr>
        <w:t>-</w:t>
      </w:r>
      <w:r>
        <w:rPr>
          <w:lang w:eastAsia="ja-JP"/>
        </w:rPr>
        <w:tab/>
      </w:r>
      <w:r>
        <w:rPr>
          <w:lang w:eastAsia="ja-JP"/>
        </w:rPr>
        <w:t>1:1 antenna configuration</w:t>
      </w:r>
    </w:p>
    <w:p>
      <w:pPr>
        <w:pStyle w:val="74"/>
        <w:rPr>
          <w:lang w:eastAsia="ja-JP"/>
        </w:rPr>
      </w:pPr>
      <w:r>
        <w:rPr>
          <w:lang w:eastAsia="ja-JP"/>
        </w:rPr>
        <w:t>-</w:t>
      </w:r>
      <w:r>
        <w:rPr>
          <w:lang w:eastAsia="ja-JP"/>
        </w:rPr>
        <w:tab/>
      </w:r>
      <w:r>
        <w:rPr>
          <w:lang w:eastAsia="ja-JP"/>
        </w:rPr>
        <w:t>AWGN channel model</w:t>
      </w:r>
    </w:p>
    <w:p>
      <w:pPr>
        <w:pStyle w:val="74"/>
        <w:rPr>
          <w:lang w:eastAsia="ja-JP"/>
        </w:rPr>
      </w:pPr>
      <w:r>
        <w:rPr>
          <w:lang w:eastAsia="ja-JP"/>
        </w:rPr>
        <w:t>-</w:t>
      </w:r>
      <w:r>
        <w:rPr>
          <w:lang w:eastAsia="ja-JP"/>
        </w:rPr>
        <w:tab/>
      </w:r>
      <w:r>
        <w:rPr>
          <w:lang w:eastAsia="ja-JP"/>
        </w:rPr>
        <w:t>Link Adaptation (see Table 4.2.7-1 for details of the highest and lowest rate codes)</w:t>
      </w:r>
    </w:p>
    <w:p>
      <w:pPr>
        <w:pStyle w:val="74"/>
        <w:rPr>
          <w:lang w:eastAsia="ja-JP"/>
        </w:rPr>
      </w:pPr>
      <w:r>
        <w:rPr>
          <w:lang w:eastAsia="ja-JP"/>
        </w:rPr>
        <w:t>-</w:t>
      </w:r>
      <w:r>
        <w:rPr>
          <w:lang w:eastAsia="ja-JP"/>
        </w:rPr>
        <w:tab/>
      </w:r>
      <w:r>
        <w:rPr>
          <w:lang w:eastAsia="ja-JP"/>
        </w:rPr>
        <w:t>No HARQ</w:t>
      </w:r>
    </w:p>
    <w:p>
      <w:pPr>
        <w:pStyle w:val="76"/>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Style w:val="49"/>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11"/>
        <w:gridCol w:w="477"/>
        <w:gridCol w:w="477"/>
        <w:gridCol w:w="411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lang w:val="en-US"/>
              </w:rPr>
            </w:pPr>
            <w:r>
              <w:t xml:space="preserve">Parameter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pPr>
            <w:r>
              <w:t xml:space="preserve">DL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pPr>
            <w:r>
              <w:t xml:space="preserve">UL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7"/>
            </w:pPr>
            <w:r>
              <w:t xml:space="preserve">Notes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α, attenuation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0.6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0.4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Represents implementation losses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Based on QPSK, 1/8 rate (DL) &amp; 1/5 rate (UL)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30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22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Based on 256QAM 0.93(DL) &amp; 64QAM 0.93 (UL) </w:t>
            </w:r>
          </w:p>
        </w:tc>
      </w:tr>
    </w:tbl>
    <w:p>
      <w:pPr>
        <w:rPr>
          <w:rFonts w:eastAsia="MS Mincho"/>
        </w:rPr>
      </w:pPr>
    </w:p>
    <w:p>
      <w:pPr>
        <w:rPr>
          <w:lang w:eastAsia="zh-CN"/>
        </w:rPr>
      </w:pPr>
      <w:r>
        <w:rPr>
          <w:rFonts w:eastAsia="MS Mincho"/>
        </w:rPr>
        <w:t>Note that the parameters proposed in Table 4.2.7-1 are targeted for eMBB coexistence scenario.</w:t>
      </w:r>
    </w:p>
    <w:p>
      <w:pPr>
        <w:pStyle w:val="3"/>
        <w:rPr>
          <w:lang w:eastAsia="zh-CN"/>
        </w:rPr>
      </w:pPr>
      <w:bookmarkStart w:id="273" w:name="_Toc2758"/>
      <w:bookmarkStart w:id="274" w:name="_Toc133498146"/>
      <w:bookmarkStart w:id="275" w:name="_Toc6254"/>
      <w:bookmarkStart w:id="276" w:name="_Toc4021"/>
      <w:bookmarkStart w:id="277" w:name="_Toc6764"/>
      <w:bookmarkStart w:id="278" w:name="_Toc28280"/>
      <w:r>
        <w:rPr>
          <w:rFonts w:hint="eastAsia"/>
          <w:lang w:eastAsia="zh-CN"/>
        </w:rPr>
        <w:t xml:space="preserve">6.3 </w:t>
      </w:r>
      <w:r>
        <w:rPr>
          <w:lang w:eastAsia="zh-CN"/>
        </w:rPr>
        <w:t>Co-existence simulation methodology</w:t>
      </w:r>
      <w:bookmarkEnd w:id="273"/>
      <w:bookmarkEnd w:id="274"/>
      <w:bookmarkEnd w:id="275"/>
      <w:bookmarkEnd w:id="276"/>
      <w:bookmarkEnd w:id="277"/>
      <w:bookmarkEnd w:id="278"/>
    </w:p>
    <w:p>
      <w:pPr>
        <w:spacing w:after="120"/>
        <w:rPr>
          <w:rFonts w:eastAsia="SimSun"/>
        </w:rPr>
      </w:pPr>
      <w:r>
        <w:rPr>
          <w:rFonts w:eastAsia="SimSun"/>
        </w:rPr>
        <w:t xml:space="preserve">Adopt following simulation steps. </w:t>
      </w:r>
    </w:p>
    <w:p>
      <w:pPr>
        <w:pStyle w:val="74"/>
        <w:rPr>
          <w:rFonts w:eastAsia="SimSun"/>
          <w:szCs w:val="24"/>
        </w:rPr>
      </w:pPr>
      <w:r>
        <w:t>-</w:t>
      </w:r>
      <w:r>
        <w:tab/>
      </w:r>
      <w:r>
        <w:t xml:space="preserve">Step 1: Generate aggressor and victim networks. </w:t>
      </w:r>
    </w:p>
    <w:p>
      <w:pPr>
        <w:pStyle w:val="85"/>
      </w:pPr>
      <w:r>
        <w:t>-</w:t>
      </w:r>
      <w:r>
        <w:tab/>
      </w:r>
      <w:r>
        <w:tab/>
      </w:r>
      <w:r>
        <w:t>One ATG site with one sector is dropped referring to clause 6.2.1.3</w:t>
      </w:r>
    </w:p>
    <w:p>
      <w:pPr>
        <w:pStyle w:val="85"/>
      </w:pPr>
      <w:r>
        <w:t xml:space="preserve">- </w:t>
      </w:r>
      <w:r>
        <w:tab/>
      </w:r>
      <w:r>
        <w:t>Deployment of terrestrial network (19 cells with wraparound) refers to Table 6.2.1.2-1</w:t>
      </w:r>
    </w:p>
    <w:p>
      <w:pPr>
        <w:pStyle w:val="85"/>
        <w:rPr>
          <w:rFonts w:eastAsia="SimSun"/>
        </w:rPr>
      </w:pPr>
      <w:r>
        <w:t xml:space="preserve">- </w:t>
      </w:r>
      <w:r>
        <w:tab/>
      </w:r>
      <w:r>
        <w:t>The relationship between TN and ATG can refer to clause 6.2.1.1</w:t>
      </w:r>
    </w:p>
    <w:p>
      <w:pPr>
        <w:pStyle w:val="74"/>
        <w:rPr>
          <w:rFonts w:eastAsia="SimSun"/>
          <w:szCs w:val="24"/>
        </w:rPr>
      </w:pPr>
      <w:r>
        <w:t>-</w:t>
      </w:r>
      <w:r>
        <w:tab/>
      </w:r>
      <w:r>
        <w:t>Step2: UE associations</w:t>
      </w:r>
    </w:p>
    <w:p>
      <w:pPr>
        <w:pStyle w:val="85"/>
      </w:pPr>
      <w:r>
        <w:t>-</w:t>
      </w:r>
      <w:r>
        <w:tab/>
      </w:r>
      <w:r>
        <w:t xml:space="preserve">TN UE are generated randomly inside the TN network, make sure enough TN UEs are associated to each TN sectors based on coupling loss. </w:t>
      </w:r>
    </w:p>
    <w:p>
      <w:pPr>
        <w:pStyle w:val="85"/>
      </w:pPr>
      <w:r>
        <w:t>-</w:t>
      </w:r>
      <w:r>
        <w:tab/>
      </w:r>
      <w:r>
        <w:t>Deployment of ATG UE refers to clause 6.2.1.3.</w:t>
      </w:r>
    </w:p>
    <w:p>
      <w:pPr>
        <w:pStyle w:val="74"/>
        <w:rPr>
          <w:rFonts w:eastAsia="SimSun"/>
          <w:szCs w:val="24"/>
        </w:rPr>
      </w:pPr>
      <w:r>
        <w:t>-</w:t>
      </w:r>
      <w:r>
        <w:tab/>
      </w:r>
      <w:r>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pPr>
        <w:pStyle w:val="74"/>
        <w:rPr>
          <w:rFonts w:eastAsia="SimSun"/>
          <w:szCs w:val="24"/>
        </w:rPr>
      </w:pPr>
      <w:r>
        <w:rPr>
          <w:lang w:eastAsia="ja-JP"/>
        </w:rPr>
        <w:t>-</w:t>
      </w:r>
      <w:r>
        <w:rPr>
          <w:lang w:eastAsia="ja-JP"/>
        </w:rPr>
        <w:tab/>
      </w:r>
      <w:r>
        <w:rPr>
          <w:lang w:eastAsia="ja-JP"/>
        </w:rPr>
        <w:t>Step 4: T</w:t>
      </w:r>
      <w:r>
        <w:t xml:space="preserve">hroughput </w:t>
      </w:r>
      <w:r>
        <w:rPr>
          <w:lang w:eastAsia="ja-JP"/>
        </w:rPr>
        <w:t xml:space="preserve">is computed </w:t>
      </w:r>
      <w:r>
        <w:t>in the victim systems without considering ACI</w:t>
      </w:r>
      <w:r>
        <w:rPr>
          <w:lang w:eastAsia="ja-JP"/>
        </w:rPr>
        <w:t xml:space="preserve"> as below:</w:t>
      </w:r>
    </w:p>
    <w:p>
      <w:pPr>
        <w:pStyle w:val="58"/>
        <w:jc w:val="center"/>
      </w:pPr>
      <m:oMath>
        <m:sSub>
          <m:sSubPr>
            <m:ctrlPr>
              <w:rPr>
                <w:rFonts w:ascii="Cambria Math" w:hAnsi="Cambria Math"/>
                <w:iCs/>
              </w:rPr>
            </m:ctrlPr>
          </m:sSubPr>
          <m:e>
            <m:r>
              <m:rPr/>
              <w:rPr>
                <w:rFonts w:ascii="Cambria Math" w:hAnsi="Cambria Math"/>
              </w:rPr>
              <m:t>Tℎput</m:t>
            </m:r>
            <m:ctrlPr>
              <w:rPr>
                <w:rFonts w:ascii="Cambria Math" w:hAnsi="Cambria Math"/>
                <w:iCs/>
              </w:rPr>
            </m:ctrlPr>
          </m:e>
          <m:sub>
            <m:r>
              <m:rPr>
                <m:sty m:val="p"/>
              </m:rPr>
              <w:rPr>
                <w:rFonts w:ascii="Cambria Math" w:hAnsi="Cambria Math"/>
              </w:rPr>
              <m:t>NO ACI</m:t>
            </m:r>
            <m:ctrlPr>
              <w:rPr>
                <w:rFonts w:ascii="Cambria Math" w:hAnsi="Cambria Math"/>
                <w:iCs/>
              </w:rPr>
            </m:ctrlPr>
          </m:sub>
        </m:sSub>
        <m:d>
          <m:dPr>
            <m:begChr m:val="["/>
            <m:endChr m:val="]"/>
            <m:ctrlPr>
              <w:rPr>
                <w:rFonts w:ascii="Cambria Math" w:hAnsi="Cambria Math"/>
                <w:iCs/>
              </w:rPr>
            </m:ctrlPr>
          </m:dPr>
          <m:e>
            <m:r>
              <m:rPr/>
              <w:rPr>
                <w:rFonts w:ascii="Cambria Math" w:hAnsi="Cambria Math"/>
              </w:rPr>
              <m:t>bpsℎz</m:t>
            </m:r>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sSub>
              <m:sSubPr>
                <m:ctrlPr>
                  <w:rPr>
                    <w:rFonts w:ascii="Cambria Math" w:hAnsi="Cambria Math"/>
                    <w:iCs/>
                  </w:rPr>
                </m:ctrlPr>
              </m:sSubPr>
              <m:e>
                <m:r>
                  <m:rPr/>
                  <w:rPr>
                    <w:rFonts w:ascii="Cambria Math" w:hAnsi="Cambria Math"/>
                  </w:rPr>
                  <m:t>SINR</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f>
              <m:fPr>
                <m:ctrlPr>
                  <w:rPr>
                    <w:rFonts w:ascii="Cambria Math" w:hAnsi="Cambria Math"/>
                    <w:iCs/>
                  </w:rPr>
                </m:ctrlPr>
              </m:fPr>
              <m:num>
                <m:r>
                  <m:rPr/>
                  <w:rPr>
                    <w:rFonts w:ascii="Cambria Math" w:hAnsi="Cambria Math"/>
                  </w:rPr>
                  <m:t>S</m:t>
                </m:r>
                <m:ctrlPr>
                  <w:rPr>
                    <w:rFonts w:ascii="Cambria Math" w:hAnsi="Cambria Math"/>
                    <w:iCs/>
                  </w:rPr>
                </m:ctrlPr>
              </m:num>
              <m:den>
                <m:r>
                  <m:rPr/>
                  <w:rPr>
                    <w:rFonts w:ascii="Cambria Math" w:hAnsi="Cambria Math"/>
                  </w:rPr>
                  <m:t>N</m:t>
                </m:r>
                <m:r>
                  <m:rPr>
                    <m:sty m:val="p"/>
                  </m:rPr>
                  <w:rPr>
                    <w:rFonts w:ascii="Cambria Math" w:hAnsi="Cambria Math"/>
                  </w:rPr>
                  <m:t>+</m:t>
                </m:r>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den>
            </m:f>
            <m:ctrlPr>
              <w:rPr>
                <w:rFonts w:ascii="Cambria Math" w:hAnsi="Cambria Math"/>
                <w:iCs/>
              </w:rPr>
            </m:ctrlPr>
          </m:e>
        </m:d>
      </m:oMath>
      <w:r>
        <w:t xml:space="preserve">, </w:t>
      </w:r>
    </w:p>
    <w:p>
      <w:pPr>
        <w:pStyle w:val="85"/>
      </w:pPr>
      <w:r>
        <w:t>where</w:t>
      </w:r>
      <w:r>
        <w:rPr>
          <w:lang w:eastAsia="zh-CN"/>
        </w:rPr>
        <w:t>:</w:t>
      </w:r>
      <w:r>
        <w:tab/>
      </w:r>
      <w:r>
        <w:rPr>
          <w:rFonts w:hint="eastAsia" w:eastAsia="SimSun"/>
          <w:lang w:val="en-US" w:eastAsia="zh-CN"/>
        </w:rPr>
        <w:t xml:space="preserve"> </w:t>
      </w:r>
      <m:oMath>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oMath>
      <w:r>
        <w:t xml:space="preserve"> is the inter-cell interference.</w:t>
      </w:r>
    </w:p>
    <w:p>
      <w:pPr>
        <w:pStyle w:val="74"/>
      </w:pPr>
      <w:r>
        <w:rPr>
          <w:lang w:eastAsia="ja-JP"/>
        </w:rPr>
        <w:t>-</w:t>
      </w:r>
      <w:r>
        <w:rPr>
          <w:lang w:eastAsia="ja-JP"/>
        </w:rPr>
        <w:tab/>
      </w:r>
      <w:r>
        <w:rPr>
          <w:lang w:eastAsia="ja-JP"/>
        </w:rPr>
        <w:t>Step 5: T</w:t>
      </w:r>
      <w:r>
        <w:t>hroughput</w:t>
      </w:r>
      <w:r>
        <w:rPr>
          <w:lang w:eastAsia="ja-JP"/>
        </w:rPr>
        <w:t xml:space="preserve"> is</w:t>
      </w:r>
      <w:r>
        <w:t xml:space="preserve"> computed considering ACI</w:t>
      </w:r>
      <w:r>
        <w:rPr>
          <w:lang w:eastAsia="ja-JP"/>
        </w:rPr>
        <w:t xml:space="preserve"> as below</w:t>
      </w:r>
      <w:r>
        <w:t>:</w:t>
      </w:r>
    </w:p>
    <w:p>
      <w:pPr>
        <w:pStyle w:val="58"/>
        <w:jc w:val="center"/>
      </w:pPr>
      <m:oMath>
        <m:sSub>
          <m:sSubPr>
            <m:ctrlPr>
              <w:rPr>
                <w:rFonts w:ascii="Cambria Math" w:hAnsi="Cambria Math"/>
                <w:i/>
                <w:iCs/>
              </w:rPr>
            </m:ctrlPr>
          </m:sSubPr>
          <m:e>
            <m:r>
              <m:rPr>
                <m:sty m:val="p"/>
              </m:rPr>
              <w:rPr>
                <w:rFonts w:ascii="Cambria Math" w:hAnsi="Cambria Math"/>
              </w:rPr>
              <m:t>Thput</m:t>
            </m:r>
            <m:ctrlPr>
              <w:rPr>
                <w:rFonts w:ascii="Cambria Math" w:hAnsi="Cambria Math"/>
                <w:i/>
                <w:iCs/>
              </w:rPr>
            </m:ctrlPr>
          </m:e>
          <m:sub>
            <m:r>
              <m:rPr>
                <m:sty m:val="p"/>
              </m:rPr>
              <w:rPr>
                <w:rFonts w:ascii="Cambria Math" w:hAnsi="Cambria Math"/>
              </w:rPr>
              <m:t>ACI</m:t>
            </m:r>
            <m:ctrlPr>
              <w:rPr>
                <w:rFonts w:ascii="Cambria Math" w:hAnsi="Cambria Math"/>
                <w:i/>
                <w:iCs/>
              </w:rPr>
            </m:ctrlPr>
          </m:sub>
        </m:sSub>
        <m:d>
          <m:dPr>
            <m:begChr m:val="["/>
            <m:endChr m:val="]"/>
            <m:ctrlPr>
              <w:rPr>
                <w:rFonts w:ascii="Cambria Math" w:hAnsi="Cambria Math"/>
                <w:i/>
                <w:iCs/>
              </w:rPr>
            </m:ctrlPr>
          </m:dPr>
          <m:e>
            <m:r>
              <m:rPr>
                <m:sty m:val="p"/>
              </m:rPr>
              <w:rPr>
                <w:rFonts w:ascii="Cambria Math" w:hAnsi="Cambria Math"/>
              </w:rPr>
              <m:t>bpshz</m:t>
            </m:r>
            <m:ctrlPr>
              <w:rPr>
                <w:rFonts w:ascii="Cambria Math" w:hAnsi="Cambria Math"/>
                <w:i/>
                <w:iCs/>
              </w:rPr>
            </m:ctrlP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ctrlPr>
                  <w:rPr>
                    <w:rFonts w:ascii="Cambria Math" w:hAnsi="Cambria Math"/>
                    <w:i/>
                    <w:iCs/>
                  </w:rPr>
                </m:ctrlPr>
              </m:e>
              <m:sub>
                <m:r>
                  <m:rPr>
                    <m:sty m:val="p"/>
                  </m:rPr>
                  <w:rPr>
                    <w:rFonts w:ascii="Cambria Math" w:hAnsi="Cambria Math"/>
                  </w:rPr>
                  <m:t>ICI+ACI</m:t>
                </m:r>
                <m:ctrlPr>
                  <w:rPr>
                    <w:rFonts w:ascii="Cambria Math" w:hAnsi="Cambria Math"/>
                    <w:i/>
                    <w:iCs/>
                  </w:rPr>
                </m:ctrlPr>
              </m:sub>
            </m:sSub>
            <m:ctrlPr>
              <w:rPr>
                <w:rFonts w:ascii="Cambria Math" w:hAnsi="Cambria Math"/>
                <w:i/>
                <w:iCs/>
              </w:rPr>
            </m:ctrlPr>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ctrlPr>
                  <w:rPr>
                    <w:rFonts w:ascii="Cambria Math" w:hAnsi="Cambria Math"/>
                    <w:i/>
                    <w:iCs/>
                  </w:rPr>
                </m:ctrlP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ICI</m:t>
                    </m:r>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ACI</m:t>
                    </m:r>
                    <m:ctrlPr>
                      <w:rPr>
                        <w:rFonts w:ascii="Cambria Math" w:hAnsi="Cambria Math"/>
                        <w:i/>
                        <w:iCs/>
                      </w:rPr>
                    </m:ctrlPr>
                  </m:sub>
                </m:sSub>
                <m:ctrlPr>
                  <w:rPr>
                    <w:rFonts w:ascii="Cambria Math" w:hAnsi="Cambria Math"/>
                    <w:i/>
                    <w:iCs/>
                  </w:rPr>
                </m:ctrlPr>
              </m:den>
            </m:f>
            <m:ctrlPr>
              <w:rPr>
                <w:rFonts w:ascii="Cambria Math" w:hAnsi="Cambria Math"/>
                <w:i/>
                <w:iCs/>
              </w:rPr>
            </m:ctrlPr>
          </m:e>
        </m:d>
      </m:oMath>
      <w:r>
        <w:t xml:space="preserve">, </w:t>
      </w:r>
    </w:p>
    <w:p>
      <w:pPr>
        <w:pStyle w:val="85"/>
      </w:pPr>
      <w:r>
        <w:t>where:</w:t>
      </w:r>
      <w:r>
        <w:tab/>
      </w:r>
      <w:r>
        <w:rPr>
          <w:rFonts w:hint="eastAsia" w:eastAsia="SimSun"/>
          <w:lang w:val="en-US" w:eastAsia="zh-CN"/>
        </w:rPr>
        <w:t xml:space="preserve"> </w:t>
      </w:r>
      <m:oMath>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ACI</m:t>
            </m:r>
            <m:ctrlPr>
              <w:rPr>
                <w:rFonts w:ascii="Cambria Math" w:hAnsi="Cambria Math"/>
                <w:i/>
                <w:iCs/>
              </w:rPr>
            </m:ctrlPr>
          </m:sub>
        </m:sSub>
      </m:oMath>
      <w:r>
        <w:t xml:space="preserve"> is the adjacent channel interference.</w:t>
      </w:r>
    </w:p>
    <w:p>
      <w:pPr>
        <w:pStyle w:val="74"/>
      </w:pPr>
      <w:r>
        <w:rPr>
          <w:lang w:eastAsia="ja-JP"/>
        </w:rPr>
        <w:t>-</w:t>
      </w:r>
      <w:r>
        <w:rPr>
          <w:lang w:eastAsia="ja-JP"/>
        </w:rPr>
        <w:tab/>
      </w:r>
      <w:r>
        <w:rPr>
          <w:lang w:eastAsia="ja-JP"/>
        </w:rPr>
        <w:t>Step 6: RF</w:t>
      </w:r>
      <w:r>
        <w:t xml:space="preserve"> parameters are determined based </w:t>
      </w:r>
      <w:r>
        <w:rPr>
          <w:lang w:eastAsia="ja-JP"/>
        </w:rPr>
        <w:t xml:space="preserve">on the </w:t>
      </w:r>
      <w:r>
        <w:t>degradation cause by ACI</w:t>
      </w:r>
      <w:r>
        <w:rPr>
          <w:lang w:eastAsia="ja-JP"/>
        </w:rPr>
        <w:t xml:space="preserve"> as below</w:t>
      </w:r>
      <w:r>
        <w:t>:</w:t>
      </w:r>
    </w:p>
    <w:p>
      <w:pPr>
        <w:pStyle w:val="58"/>
        <w:rPr>
          <w:iCs/>
        </w:rPr>
      </w:pPr>
      <m:oMathPara>
        <m:oMath>
          <m:r>
            <m:rPr/>
            <w:rPr>
              <w:rFonts w:ascii="Cambria Math" w:hAnsi="Cambria Math"/>
            </w:rPr>
            <m:t>Los</m:t>
          </m:r>
          <m:sSub>
            <m:sSubPr>
              <m:ctrlPr>
                <w:rPr>
                  <w:rFonts w:ascii="Cambria Math" w:hAnsi="Cambria Math"/>
                  <w:iCs/>
                </w:rPr>
              </m:ctrlPr>
            </m:sSubPr>
            <m:e>
              <m:r>
                <m:rPr/>
                <w:rPr>
                  <w:rFonts w:ascii="Cambria Math" w:hAnsi="Cambria Math"/>
                </w:rPr>
                <m:t>s</m:t>
              </m:r>
              <m:ctrlPr>
                <w:rPr>
                  <w:rFonts w:ascii="Cambria Math" w:hAnsi="Cambria Math"/>
                  <w:iCs/>
                </w:rPr>
              </m:ctrlPr>
            </m:e>
            <m:sub>
              <m:r>
                <m:rPr/>
                <w:rPr>
                  <w:rFonts w:ascii="Cambria Math" w:hAnsi="Cambria Math"/>
                </w:rPr>
                <m:t>ACI</m:t>
              </m:r>
              <m:ctrlPr>
                <w:rPr>
                  <w:rFonts w:ascii="Cambria Math" w:hAnsi="Cambria Math"/>
                  <w:iCs/>
                </w:rPr>
              </m:ctrlP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ACI</m:t>
                  </m:r>
                  <m:ctrlPr>
                    <w:rPr>
                      <w:rFonts w:ascii="Cambria Math" w:hAnsi="Cambria Math"/>
                      <w:iCs/>
                    </w:rPr>
                  </m:ctrlPr>
                </m:sub>
              </m:sSub>
              <m:ctrlPr>
                <w:rPr>
                  <w:rFonts w:ascii="Cambria Math" w:hAnsi="Cambria Math"/>
                  <w:iCs/>
                </w:rPr>
              </m:ctrlPr>
            </m:num>
            <m:den>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SINGLE</m:t>
                  </m:r>
                  <m:ctrlPr>
                    <w:rPr>
                      <w:rFonts w:ascii="Cambria Math" w:hAnsi="Cambria Math"/>
                      <w:iCs/>
                    </w:rPr>
                  </m:ctrlPr>
                </m:sub>
              </m:sSub>
              <m:ctrlPr>
                <w:rPr>
                  <w:rFonts w:ascii="Cambria Math" w:hAnsi="Cambria Math"/>
                  <w:iCs/>
                </w:rPr>
              </m:ctrlPr>
            </m:den>
          </m:f>
        </m:oMath>
      </m:oMathPara>
    </w:p>
    <w:p>
      <w:pPr>
        <w:rPr>
          <w:lang w:eastAsia="zh-CN"/>
        </w:rPr>
      </w:pPr>
    </w:p>
    <w:p>
      <w:pPr>
        <w:pStyle w:val="3"/>
        <w:keepNext/>
        <w:keepLines/>
        <w:spacing w:before="180"/>
        <w:ind w:left="1134"/>
        <w:outlineLvl w:val="1"/>
        <w:rPr>
          <w:lang w:eastAsia="ja-JP"/>
        </w:rPr>
      </w:pPr>
      <w:bookmarkStart w:id="279" w:name="_Toc9516"/>
      <w:bookmarkStart w:id="280" w:name="_Toc24957"/>
      <w:bookmarkStart w:id="281" w:name="_Toc31621"/>
      <w:bookmarkStart w:id="282" w:name="_Toc9293"/>
      <w:r>
        <w:rPr>
          <w:lang w:eastAsia="ja-JP"/>
        </w:rPr>
        <w:t>6.4 Co-existence simulation results</w:t>
      </w:r>
      <w:bookmarkEnd w:id="279"/>
      <w:bookmarkEnd w:id="280"/>
      <w:bookmarkEnd w:id="281"/>
      <w:bookmarkEnd w:id="282"/>
    </w:p>
    <w:p>
      <w:pPr>
        <w:pStyle w:val="4"/>
      </w:pPr>
      <w:bookmarkStart w:id="283" w:name="_Toc18087"/>
      <w:bookmarkStart w:id="284" w:name="_Toc25652"/>
      <w:bookmarkStart w:id="285" w:name="_Toc28794"/>
      <w:bookmarkStart w:id="286" w:name="_Toc10597"/>
      <w:bookmarkStart w:id="287" w:name="_Toc19320"/>
      <w:r>
        <w:t>6.4.1 Synchronized Scenarios</w:t>
      </w:r>
      <w:bookmarkEnd w:id="283"/>
      <w:bookmarkEnd w:id="284"/>
      <w:bookmarkEnd w:id="285"/>
      <w:bookmarkEnd w:id="286"/>
      <w:bookmarkEnd w:id="287"/>
    </w:p>
    <w:p>
      <w:pPr>
        <w:pStyle w:val="5"/>
        <w:rPr>
          <w:lang w:val="sv-SE"/>
        </w:rPr>
      </w:pPr>
      <w:bookmarkStart w:id="288" w:name="_Toc29326"/>
      <w:bookmarkStart w:id="289" w:name="_Toc12718"/>
      <w:bookmarkStart w:id="290" w:name="_Toc20136"/>
      <w:bookmarkStart w:id="291" w:name="_Toc736"/>
      <w:bookmarkStart w:id="292" w:name="_Toc24959"/>
      <w:r>
        <w:rPr>
          <w:lang w:val="sv-SE"/>
        </w:rPr>
        <w:t>6.4.1.1 Scenario 1: 4GHz ATG DL interfering TN DL</w:t>
      </w:r>
      <w:bookmarkEnd w:id="288"/>
      <w:bookmarkEnd w:id="289"/>
      <w:bookmarkEnd w:id="290"/>
      <w:bookmarkEnd w:id="291"/>
      <w:bookmarkEnd w:id="292"/>
    </w:p>
    <w:p>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pPr>
        <w:jc w:val="center"/>
        <w:rPr>
          <w:rFonts w:ascii="Arial" w:hAnsi="Arial" w:cs="Arial"/>
          <w:b/>
          <w:bCs/>
        </w:rPr>
      </w:pPr>
      <w:r>
        <w:rPr>
          <w:rFonts w:ascii="Arial" w:hAnsi="Arial" w:cs="Arial"/>
          <w:b/>
          <w:bCs/>
        </w:rPr>
        <w:t>Table 6.4.1.1-1: Throughput Loss (%) at ATG BS ACLR 45 dB for Scenario 1 – 4 GHz ATG DL interfering TN DL</w:t>
      </w:r>
    </w:p>
    <w:tbl>
      <w:tblPr>
        <w:tblStyle w:val="4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701"/>
        <w:gridCol w:w="4536"/>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27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701"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US" w:eastAsia="ko"/>
              </w:rPr>
            </w:pPr>
            <w:r>
              <w:rPr>
                <w:rFonts w:eastAsia="Yu Mincho" w:cs="Arial"/>
                <w:lang w:eastAsia="ko"/>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0.355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keepNext/>
        <w:rPr>
          <w:rFonts w:cs="Arial"/>
        </w:rPr>
      </w:pPr>
    </w:p>
    <w:p>
      <w:pPr>
        <w:keepNext/>
        <w:rPr>
          <w:rFonts w:cs="Arial"/>
        </w:rPr>
      </w:pPr>
    </w:p>
    <w:p>
      <w:pPr>
        <w:keepNext/>
        <w:rPr>
          <w:rFonts w:cs="Arial"/>
        </w:rPr>
      </w:pPr>
    </w:p>
    <w:p>
      <w:pPr>
        <w:keepNext/>
        <w:rPr>
          <w:rFonts w:cs="Arial"/>
        </w:rPr>
      </w:pPr>
    </w:p>
    <w:p>
      <w:pPr>
        <w:pStyle w:val="6"/>
        <w:keepNext w:val="0"/>
      </w:pPr>
      <w:bookmarkStart w:id="293" w:name="_Toc3048"/>
      <w:bookmarkStart w:id="294" w:name="_Toc19855"/>
      <w:bookmarkStart w:id="295" w:name="_Toc22019"/>
      <w:bookmarkStart w:id="296" w:name="_Toc12038"/>
      <w:bookmarkStart w:id="297" w:name="_Toc26769"/>
      <w:r>
        <w:rPr>
          <w:rFonts w:hint="eastAsia"/>
          <w:lang w:val="en-US" w:eastAsia="zh-CN"/>
        </w:rPr>
        <w:t xml:space="preserve">6.4.1.1.1 </w:t>
      </w:r>
      <w:r>
        <w:t>Non-Subarray model</w:t>
      </w:r>
      <w:bookmarkEnd w:id="293"/>
      <w:bookmarkEnd w:id="294"/>
      <w:bookmarkEnd w:id="295"/>
      <w:bookmarkEnd w:id="296"/>
      <w:bookmarkEnd w:id="297"/>
    </w:p>
    <w:p>
      <w:pPr>
        <w:keepNext/>
        <w:jc w:val="center"/>
        <w:rPr>
          <w:rFonts w:cs="Arial"/>
        </w:rPr>
      </w:pPr>
      <w:r>
        <w:rPr>
          <w:rFonts w:cs="Arial"/>
        </w:rPr>
        <w:drawing>
          <wp:inline distT="0" distB="0" distL="0" distR="0">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pPr>
        <w:pStyle w:val="28"/>
        <w:jc w:val="center"/>
        <w:rPr>
          <w:rFonts w:ascii="Arial" w:hAnsi="Arial" w:cs="Arial"/>
        </w:rPr>
      </w:pPr>
      <w:r>
        <w:rPr>
          <w:rFonts w:ascii="Arial" w:hAnsi="Arial" w:cs="Arial"/>
        </w:rPr>
        <w:t>Figure 6.4.1.1-1: Simulation results for Throughput Loss - 5% of users in the whole network</w:t>
      </w:r>
    </w:p>
    <w:p>
      <w:pPr>
        <w:keepNext/>
        <w:jc w:val="center"/>
        <w:rPr>
          <w:rFonts w:cs="Arial"/>
        </w:rPr>
      </w:pPr>
      <w:r>
        <w:rPr>
          <w:rFonts w:cs="Arial"/>
        </w:rPr>
        <w:drawing>
          <wp:inline distT="0" distB="0" distL="0" distR="0">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pPr>
        <w:pStyle w:val="28"/>
        <w:jc w:val="center"/>
        <w:rPr>
          <w:rFonts w:ascii="Arial" w:hAnsi="Arial" w:cs="Arial"/>
        </w:rPr>
      </w:pPr>
      <w:r>
        <w:rPr>
          <w:rFonts w:ascii="Arial" w:hAnsi="Arial" w:cs="Arial"/>
        </w:rPr>
        <w:t>Figure 6.4.1.1-2: Simulation results for Throughput Loss – Average of all users in the whole network</w:t>
      </w:r>
    </w:p>
    <w:p>
      <w:pPr>
        <w:rPr>
          <w:rFonts w:cs="Arial"/>
        </w:rPr>
      </w:pPr>
    </w:p>
    <w:p>
      <w:pPr>
        <w:keepNext/>
        <w:jc w:val="center"/>
        <w:rPr>
          <w:rFonts w:cs="Arial"/>
        </w:rPr>
      </w:pPr>
      <w:r>
        <w:rPr>
          <w:rFonts w:cs="Arial"/>
        </w:rPr>
        <w:drawing>
          <wp:inline distT="0" distB="0" distL="0" distR="0">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pPr>
        <w:pStyle w:val="28"/>
        <w:jc w:val="center"/>
        <w:rPr>
          <w:rFonts w:ascii="Arial" w:hAnsi="Arial" w:cs="Arial"/>
        </w:rPr>
      </w:pPr>
      <w:r>
        <w:rPr>
          <w:rFonts w:ascii="Arial" w:hAnsi="Arial" w:cs="Arial"/>
        </w:rPr>
        <w:t>Figure 6.4.1.1-3: Simulation results for Throughput Loss – 5% of users within cell of largest throughput loss of victim network</w:t>
      </w:r>
    </w:p>
    <w:p>
      <w:pPr>
        <w:jc w:val="center"/>
        <w:rPr>
          <w:rFonts w:cs="Arial"/>
        </w:rPr>
      </w:pPr>
    </w:p>
    <w:p>
      <w:pPr>
        <w:keepNext/>
        <w:jc w:val="center"/>
        <w:rPr>
          <w:rFonts w:cs="Arial"/>
        </w:rPr>
      </w:pPr>
      <w:r>
        <w:rPr>
          <w:rFonts w:cs="Arial"/>
        </w:rPr>
        <w:drawing>
          <wp:inline distT="0" distB="0" distL="0" distR="0">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pPr>
        <w:pStyle w:val="28"/>
        <w:jc w:val="center"/>
        <w:rPr>
          <w:rFonts w:ascii="Arial" w:hAnsi="Arial" w:cs="Arial"/>
        </w:rPr>
      </w:pPr>
      <w:r>
        <w:rPr>
          <w:rFonts w:ascii="Arial" w:hAnsi="Arial" w:cs="Arial"/>
        </w:rPr>
        <w:t>Figure 6.4.1.1-4: Simulation results for Throughput Loss – Average of all users within cell of largest throughput loss of victim network</w:t>
      </w:r>
    </w:p>
    <w:p>
      <w:pPr>
        <w:rPr>
          <w:rFonts w:cs="Arial"/>
        </w:rPr>
      </w:pPr>
    </w:p>
    <w:p>
      <w:pPr>
        <w:pStyle w:val="6"/>
      </w:pPr>
      <w:bookmarkStart w:id="298" w:name="_Toc31694"/>
      <w:bookmarkStart w:id="299" w:name="_Toc20166"/>
      <w:bookmarkStart w:id="300" w:name="_Toc28038"/>
      <w:bookmarkStart w:id="301" w:name="_Toc7528"/>
      <w:bookmarkStart w:id="302" w:name="_Toc16652"/>
      <w:r>
        <w:rPr>
          <w:rFonts w:hint="eastAsia"/>
          <w:lang w:val="en-US" w:eastAsia="zh-CN"/>
        </w:rPr>
        <w:t xml:space="preserve">6.4.1.1.2 </w:t>
      </w:r>
      <w:r>
        <w:t>Subarray model</w:t>
      </w:r>
      <w:bookmarkEnd w:id="298"/>
      <w:bookmarkEnd w:id="299"/>
      <w:bookmarkEnd w:id="300"/>
      <w:bookmarkEnd w:id="301"/>
      <w:bookmarkEnd w:id="302"/>
    </w:p>
    <w:p>
      <w:pPr>
        <w:keepNext/>
        <w:rPr>
          <w:rFonts w:cs="Arial"/>
        </w:rPr>
      </w:pPr>
      <w:r>
        <w:rPr>
          <w:rFonts w:cs="Arial"/>
        </w:rPr>
        <w:drawing>
          <wp:inline distT="0" distB="0" distL="0" distR="0">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pPr>
        <w:pStyle w:val="28"/>
        <w:jc w:val="center"/>
        <w:rPr>
          <w:rFonts w:ascii="Arial" w:hAnsi="Arial" w:cs="Arial"/>
        </w:rPr>
      </w:pPr>
      <w:r>
        <w:rPr>
          <w:rFonts w:ascii="Arial" w:hAnsi="Arial" w:cs="Arial"/>
        </w:rPr>
        <w:t>Figure 6.4.1.1-5: Simulation results for Throughput Loss - 5% of users in the whole network</w:t>
      </w:r>
    </w:p>
    <w:p>
      <w:pPr>
        <w:rPr>
          <w:rFonts w:cs="Arial"/>
        </w:rPr>
      </w:pPr>
    </w:p>
    <w:p>
      <w:pPr>
        <w:keepNext/>
        <w:rPr>
          <w:rFonts w:cs="Arial"/>
        </w:rPr>
      </w:pPr>
      <w:r>
        <w:rPr>
          <w:rFonts w:cs="Arial"/>
        </w:rPr>
        <w:drawing>
          <wp:inline distT="0" distB="0" distL="0" distR="0">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pPr>
        <w:pStyle w:val="28"/>
        <w:jc w:val="center"/>
        <w:rPr>
          <w:rFonts w:ascii="Arial" w:hAnsi="Arial" w:cs="Arial"/>
        </w:rPr>
      </w:pPr>
      <w:r>
        <w:rPr>
          <w:rFonts w:ascii="Arial" w:hAnsi="Arial" w:cs="Arial"/>
        </w:rPr>
        <w:t>Figure 6.4.1.1-6: Simulation results for Throughput Loss – Average of all users in the whole network</w:t>
      </w:r>
    </w:p>
    <w:p>
      <w:pPr>
        <w:rPr>
          <w:rFonts w:cs="Arial"/>
        </w:rPr>
      </w:pPr>
    </w:p>
    <w:p>
      <w:pPr>
        <w:rPr>
          <w:rFonts w:cs="Arial"/>
        </w:rPr>
      </w:pPr>
      <w:r>
        <w:rPr>
          <w:rFonts w:cs="Arial"/>
        </w:rPr>
        <w:drawing>
          <wp:inline distT="0" distB="0" distL="0" distR="0">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pPr>
        <w:pStyle w:val="28"/>
        <w:jc w:val="center"/>
        <w:rPr>
          <w:rFonts w:ascii="Arial" w:hAnsi="Arial" w:cs="Arial"/>
        </w:rPr>
      </w:pPr>
      <w:r>
        <w:rPr>
          <w:rFonts w:ascii="Arial" w:hAnsi="Arial" w:cs="Arial"/>
        </w:rPr>
        <w:t>Figure 6.4.1.1-7: Simulation results for Throughput Loss – 5% of users within cell of largest throughput loss of victim network</w:t>
      </w:r>
    </w:p>
    <w:p>
      <w:pPr>
        <w:rPr>
          <w:rFonts w:cs="Arial"/>
        </w:rPr>
      </w:pPr>
    </w:p>
    <w:p>
      <w:pPr>
        <w:keepNext/>
        <w:rPr>
          <w:rFonts w:cs="Arial"/>
        </w:rPr>
      </w:pPr>
      <w:r>
        <w:rPr>
          <w:rFonts w:cs="Arial"/>
        </w:rPr>
        <w:drawing>
          <wp:inline distT="0" distB="0" distL="0" distR="0">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pPr>
        <w:pStyle w:val="28"/>
        <w:jc w:val="center"/>
        <w:rPr>
          <w:rFonts w:ascii="Arial" w:hAnsi="Arial" w:cs="Arial"/>
        </w:rPr>
      </w:pPr>
      <w:r>
        <w:rPr>
          <w:rFonts w:ascii="Arial" w:hAnsi="Arial" w:cs="Arial"/>
        </w:rPr>
        <w:t>Figure 6.4.1.1-</w:t>
      </w:r>
      <w:r>
        <w:rPr>
          <w:rFonts w:hint="eastAsia" w:ascii="Arial" w:hAnsi="Arial" w:eastAsia="SimSun" w:cs="Arial"/>
          <w:lang w:val="en-US" w:eastAsia="zh-CN"/>
        </w:rPr>
        <w:t>8</w:t>
      </w:r>
      <w:r>
        <w:rPr>
          <w:rFonts w:ascii="Arial" w:hAnsi="Arial" w:cs="Arial"/>
        </w:rPr>
        <w:t>: Simulation results for Throughput Loss – Average of all users within cell of largest throughput loss of victim network</w:t>
      </w:r>
    </w:p>
    <w:p>
      <w:pPr>
        <w:rPr>
          <w:rFonts w:cs="Arial"/>
        </w:rPr>
      </w:pPr>
    </w:p>
    <w:p>
      <w:pPr>
        <w:pStyle w:val="5"/>
        <w:rPr>
          <w:rFonts w:ascii="Arial" w:hAnsi="Arial" w:cs="Arial"/>
          <w:b/>
          <w:bCs/>
          <w:szCs w:val="24"/>
          <w:lang w:val="sv-SE"/>
        </w:rPr>
      </w:pPr>
      <w:bookmarkStart w:id="303" w:name="_Toc19582"/>
      <w:bookmarkStart w:id="304" w:name="_Toc29210"/>
      <w:bookmarkStart w:id="305" w:name="_Toc32474"/>
      <w:bookmarkStart w:id="306" w:name="_Toc9546"/>
      <w:bookmarkStart w:id="307" w:name="_Toc24275"/>
      <w:r>
        <w:rPr>
          <w:lang w:val="sv-SE"/>
        </w:rPr>
        <w:t>6.4.1.2 Scenario 2: 4GHz ATG UL interfering TN UL</w:t>
      </w:r>
      <w:r>
        <w:rPr>
          <w:rFonts w:ascii="Arial" w:hAnsi="Arial" w:cs="Arial"/>
          <w:b/>
          <w:bCs/>
          <w:szCs w:val="24"/>
          <w:lang w:val="sv-SE"/>
        </w:rPr>
        <w:br w:type="textWrapping"/>
      </w:r>
      <w:bookmarkEnd w:id="303"/>
      <w:bookmarkEnd w:id="304"/>
      <w:bookmarkEnd w:id="305"/>
      <w:bookmarkEnd w:id="306"/>
      <w:bookmarkEnd w:id="307"/>
    </w:p>
    <w:p>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pPr>
        <w:jc w:val="center"/>
        <w:rPr>
          <w:rFonts w:ascii="Arial" w:hAnsi="Arial" w:cs="Arial"/>
          <w:b/>
          <w:bCs/>
        </w:rPr>
      </w:pPr>
      <w:r>
        <w:rPr>
          <w:rFonts w:ascii="Arial" w:hAnsi="Arial" w:cs="Arial"/>
          <w:b/>
          <w:bCs/>
        </w:rPr>
        <w:t>Table 6.4.1.2-1: Simulation results for Scenario 2 – 4 GHz ATG UL interfering TN UL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5082"/>
        <w:gridCol w:w="1276"/>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508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2551" w:type="dxa"/>
            <w:gridSpan w:val="2"/>
            <w:tcBorders>
              <w:top w:val="single" w:color="auto" w:sz="4" w:space="0"/>
              <w:left w:val="single" w:color="auto" w:sz="4" w:space="0"/>
              <w:right w:val="single" w:color="auto" w:sz="4" w:space="0"/>
            </w:tcBorders>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5082"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27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308" w:name="_Toc23362"/>
      <w:bookmarkStart w:id="309" w:name="_Toc32484"/>
      <w:bookmarkStart w:id="310" w:name="_Toc30529"/>
      <w:bookmarkStart w:id="311" w:name="_Toc8125"/>
      <w:bookmarkStart w:id="312" w:name="_Toc24689"/>
      <w:r>
        <w:rPr>
          <w:rFonts w:hint="eastAsia"/>
          <w:lang w:val="en-US" w:eastAsia="zh-CN"/>
        </w:rPr>
        <w:t xml:space="preserve">6.4.1.2.1 </w:t>
      </w:r>
      <w:r>
        <w:t>Non-Subarray model</w:t>
      </w:r>
      <w:bookmarkEnd w:id="308"/>
      <w:bookmarkEnd w:id="309"/>
      <w:bookmarkEnd w:id="310"/>
      <w:bookmarkEnd w:id="311"/>
      <w:bookmarkEnd w:id="312"/>
    </w:p>
    <w:p>
      <w:pPr>
        <w:rPr>
          <w:rFonts w:cs="Arial"/>
        </w:rPr>
      </w:pPr>
    </w:p>
    <w:p>
      <w:pPr>
        <w:pStyle w:val="7"/>
      </w:pPr>
      <w:bookmarkStart w:id="313" w:name="_Toc5038"/>
      <w:bookmarkStart w:id="314" w:name="_Toc30983"/>
      <w:bookmarkStart w:id="315" w:name="_Toc3656"/>
      <w:bookmarkStart w:id="316" w:name="_Toc4777"/>
      <w:bookmarkStart w:id="317" w:name="_Toc26749"/>
      <w:r>
        <w:t>Maximum distance between ATG BS and ATG UE is 100 km</w:t>
      </w:r>
      <w:bookmarkEnd w:id="313"/>
      <w:bookmarkEnd w:id="314"/>
      <w:bookmarkEnd w:id="315"/>
      <w:bookmarkEnd w:id="316"/>
      <w:bookmarkEnd w:id="317"/>
    </w:p>
    <w:p>
      <w:pPr>
        <w:keepNext/>
        <w:rPr>
          <w:rFonts w:cs="Arial"/>
        </w:rPr>
      </w:pPr>
      <w:r>
        <w:rPr>
          <w:rFonts w:cs="Arial"/>
        </w:rPr>
        <w:drawing>
          <wp:inline distT="0" distB="0" distL="0" distR="0">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pPr>
        <w:pStyle w:val="28"/>
        <w:jc w:val="center"/>
        <w:rPr>
          <w:rFonts w:ascii="Arial" w:hAnsi="Arial" w:cs="Arial"/>
        </w:rPr>
      </w:pPr>
      <w:r>
        <w:rPr>
          <w:rFonts w:ascii="Arial" w:hAnsi="Arial" w:cs="Arial"/>
        </w:rPr>
        <w:t>Figure 6.4.1.2-1: Simulation results for Throughput Loss - 5% of users in the whole network</w:t>
      </w:r>
    </w:p>
    <w:p>
      <w:pPr>
        <w:keepNext/>
        <w:rPr>
          <w:rFonts w:cs="Arial"/>
        </w:rPr>
      </w:pPr>
      <w:r>
        <w:rPr>
          <w:rFonts w:cs="Arial"/>
        </w:rPr>
        <w:drawing>
          <wp:inline distT="0" distB="0" distL="0" distR="0">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pPr>
        <w:pStyle w:val="28"/>
        <w:jc w:val="center"/>
        <w:rPr>
          <w:rFonts w:ascii="Arial" w:hAnsi="Arial" w:cs="Arial"/>
        </w:rPr>
      </w:pPr>
      <w:r>
        <w:rPr>
          <w:rFonts w:ascii="Arial" w:hAnsi="Arial" w:cs="Arial"/>
        </w:rPr>
        <w:t>Figure 6.4.1.2-2: Simulation results for Throughput Loss – Average of all users in the whole network</w:t>
      </w:r>
    </w:p>
    <w:p>
      <w:pPr>
        <w:keepNext/>
        <w:rPr>
          <w:rFonts w:cs="Arial"/>
        </w:rPr>
      </w:pPr>
      <w:r>
        <w:rPr>
          <w:rFonts w:cs="Arial"/>
        </w:rPr>
        <w:drawing>
          <wp:inline distT="0" distB="0" distL="0" distR="0">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pPr>
        <w:pStyle w:val="28"/>
        <w:jc w:val="center"/>
        <w:rPr>
          <w:rFonts w:ascii="Arial" w:hAnsi="Arial" w:cs="Arial"/>
        </w:rPr>
      </w:pPr>
      <w:r>
        <w:rPr>
          <w:rFonts w:ascii="Arial" w:hAnsi="Arial" w:cs="Arial"/>
        </w:rPr>
        <w:t>Figure 6.4.1.2-3: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pPr>
        <w:pStyle w:val="28"/>
        <w:jc w:val="center"/>
        <w:rPr>
          <w:rFonts w:ascii="Arial" w:hAnsi="Arial" w:cs="Arial"/>
        </w:rPr>
      </w:pPr>
      <w:r>
        <w:rPr>
          <w:rFonts w:ascii="Arial" w:hAnsi="Arial" w:cs="Arial"/>
        </w:rPr>
        <w:t>Figure 6.4.1.2-4: Simulation results for Throughput Loss – Average of all users within cell of largest throughput loss of victim network</w:t>
      </w:r>
    </w:p>
    <w:p>
      <w:pPr>
        <w:rPr>
          <w:rFonts w:cs="Arial"/>
        </w:rPr>
      </w:pPr>
    </w:p>
    <w:p>
      <w:pPr>
        <w:pStyle w:val="7"/>
      </w:pPr>
      <w:bookmarkStart w:id="318" w:name="_Toc8808"/>
      <w:bookmarkStart w:id="319" w:name="_Toc31447"/>
      <w:bookmarkStart w:id="320" w:name="_Toc4813"/>
      <w:bookmarkStart w:id="321" w:name="_Toc29052"/>
      <w:bookmarkStart w:id="322" w:name="_Toc32043"/>
      <w:r>
        <w:t>Maximum distance between ATG BS and ATG UE is 300 km</w:t>
      </w:r>
      <w:bookmarkEnd w:id="318"/>
      <w:bookmarkEnd w:id="319"/>
      <w:bookmarkEnd w:id="320"/>
      <w:bookmarkEnd w:id="321"/>
      <w:bookmarkEnd w:id="322"/>
    </w:p>
    <w:p>
      <w:pPr>
        <w:keepNext/>
        <w:rPr>
          <w:rFonts w:cs="Arial"/>
        </w:rPr>
      </w:pPr>
      <w:r>
        <w:rPr>
          <w:rFonts w:cs="Arial"/>
        </w:rPr>
        <w:drawing>
          <wp:inline distT="0" distB="0" distL="0" distR="0">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pPr>
        <w:pStyle w:val="28"/>
        <w:jc w:val="center"/>
        <w:rPr>
          <w:rFonts w:ascii="Arial" w:hAnsi="Arial" w:cs="Arial"/>
        </w:rPr>
      </w:pPr>
      <w:r>
        <w:rPr>
          <w:rFonts w:ascii="Arial" w:hAnsi="Arial" w:cs="Arial"/>
        </w:rPr>
        <w:t>Figure 6.4.1.2-5: Simulation results for Throughput Loss - 5% of users in the whole network</w:t>
      </w:r>
    </w:p>
    <w:p>
      <w:pPr>
        <w:keepNext/>
        <w:rPr>
          <w:rFonts w:cs="Arial"/>
        </w:rPr>
      </w:pPr>
      <w:r>
        <w:rPr>
          <w:rFonts w:cs="Arial"/>
        </w:rPr>
        <w:drawing>
          <wp:inline distT="0" distB="0" distL="0" distR="0">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pPr>
        <w:pStyle w:val="28"/>
        <w:jc w:val="center"/>
        <w:rPr>
          <w:rFonts w:ascii="Arial" w:hAnsi="Arial" w:cs="Arial"/>
          <w:sz w:val="20"/>
          <w:szCs w:val="20"/>
        </w:rPr>
      </w:pPr>
      <w:r>
        <w:rPr>
          <w:rFonts w:ascii="Arial" w:hAnsi="Arial" w:cs="Arial"/>
          <w:sz w:val="20"/>
          <w:szCs w:val="20"/>
        </w:rPr>
        <w:t>Figure 6.4.1.2-6: Simulation results for Throughput Loss – Average of all users in the whole network</w:t>
      </w:r>
    </w:p>
    <w:p>
      <w:pPr>
        <w:rPr>
          <w:rFonts w:cs="Arial"/>
        </w:rPr>
      </w:pPr>
      <w:r>
        <w:rPr>
          <w:rFonts w:cs="Arial"/>
        </w:rPr>
        <w:drawing>
          <wp:inline distT="0" distB="0" distL="0" distR="0">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pPr>
        <w:pStyle w:val="28"/>
        <w:jc w:val="center"/>
        <w:rPr>
          <w:rFonts w:ascii="Arial" w:hAnsi="Arial" w:cs="Arial"/>
        </w:rPr>
      </w:pPr>
      <w:r>
        <w:rPr>
          <w:rFonts w:ascii="Arial" w:hAnsi="Arial" w:cs="Arial"/>
        </w:rPr>
        <w:t>Figure 6.4.1.2-7: Simulation results for Throughput Loss – 5% of users within cell of largest throughput loss of victim network</w:t>
      </w:r>
    </w:p>
    <w:p>
      <w:pPr>
        <w:rPr>
          <w:rFonts w:cs="Arial"/>
        </w:rPr>
      </w:pPr>
      <w:r>
        <w:rPr>
          <w:rFonts w:cs="Arial"/>
        </w:rPr>
        <w:drawing>
          <wp:inline distT="0" distB="0" distL="0" distR="0">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pPr>
        <w:pStyle w:val="28"/>
        <w:jc w:val="center"/>
        <w:rPr>
          <w:rFonts w:ascii="Arial" w:hAnsi="Arial" w:cs="Arial"/>
        </w:rPr>
      </w:pPr>
      <w:r>
        <w:rPr>
          <w:rFonts w:ascii="Arial" w:hAnsi="Arial" w:cs="Arial"/>
        </w:rPr>
        <w:t>Figure 6.4.1.2-8: Simulation results for Throughput Loss – Average of all users within cell of largest throughput loss of victim network</w:t>
      </w:r>
    </w:p>
    <w:p>
      <w:pPr>
        <w:rPr>
          <w:rFonts w:cs="Arial"/>
        </w:rPr>
      </w:pPr>
    </w:p>
    <w:p>
      <w:pPr>
        <w:pStyle w:val="6"/>
      </w:pPr>
      <w:bookmarkStart w:id="323" w:name="_Toc17726"/>
      <w:bookmarkStart w:id="324" w:name="_Toc10115"/>
      <w:bookmarkStart w:id="325" w:name="_Toc18352"/>
      <w:bookmarkStart w:id="326" w:name="_Toc24145"/>
      <w:bookmarkStart w:id="327" w:name="_Toc6426"/>
      <w:r>
        <w:rPr>
          <w:rFonts w:hint="eastAsia"/>
          <w:lang w:val="en-US" w:eastAsia="zh-CN"/>
        </w:rPr>
        <w:t xml:space="preserve">6.4.1.2.2 </w:t>
      </w:r>
      <w:r>
        <w:t>Subarray model</w:t>
      </w:r>
      <w:bookmarkEnd w:id="323"/>
      <w:bookmarkEnd w:id="324"/>
      <w:bookmarkEnd w:id="325"/>
      <w:bookmarkEnd w:id="326"/>
      <w:bookmarkEnd w:id="327"/>
    </w:p>
    <w:p>
      <w:pPr>
        <w:pStyle w:val="7"/>
      </w:pPr>
      <w:bookmarkStart w:id="328" w:name="_Toc18232"/>
      <w:bookmarkStart w:id="329" w:name="_Toc8289"/>
      <w:bookmarkStart w:id="330" w:name="_Toc26100"/>
      <w:bookmarkStart w:id="331" w:name="_Toc8112"/>
      <w:bookmarkStart w:id="332" w:name="_Toc4664"/>
      <w:r>
        <w:t>Maximum distance between ATG BS and ATG UE is 100 km</w:t>
      </w:r>
      <w:bookmarkEnd w:id="328"/>
      <w:bookmarkEnd w:id="329"/>
      <w:bookmarkEnd w:id="330"/>
      <w:bookmarkEnd w:id="331"/>
      <w:bookmarkEnd w:id="332"/>
    </w:p>
    <w:p>
      <w:pPr>
        <w:rPr>
          <w:rFonts w:cs="Arial"/>
        </w:rPr>
      </w:pPr>
      <w:r>
        <w:rPr>
          <w:rFonts w:cs="Arial"/>
        </w:rPr>
        <w:drawing>
          <wp:inline distT="0" distB="0" distL="0" distR="0">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pPr>
        <w:pStyle w:val="28"/>
        <w:jc w:val="center"/>
        <w:rPr>
          <w:rFonts w:ascii="Arial" w:hAnsi="Arial" w:cs="Arial"/>
        </w:rPr>
      </w:pPr>
      <w:r>
        <w:rPr>
          <w:rFonts w:ascii="Arial" w:hAnsi="Arial" w:cs="Arial"/>
        </w:rPr>
        <w:t>Figure 6.4.1.2-9: Simulation results for Throughput Loss - 5% of users in the whole network</w:t>
      </w:r>
    </w:p>
    <w:p>
      <w:pPr>
        <w:rPr>
          <w:rFonts w:cs="Arial"/>
        </w:rPr>
      </w:pPr>
    </w:p>
    <w:p>
      <w:pPr>
        <w:rPr>
          <w:rFonts w:cs="Arial"/>
        </w:rPr>
      </w:pPr>
      <w:r>
        <w:rPr>
          <w:rFonts w:cs="Arial"/>
        </w:rPr>
        <w:drawing>
          <wp:inline distT="0" distB="0" distL="0" distR="0">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pPr>
        <w:pStyle w:val="28"/>
        <w:jc w:val="center"/>
        <w:rPr>
          <w:rFonts w:ascii="Arial" w:hAnsi="Arial" w:cs="Arial"/>
        </w:rPr>
      </w:pPr>
      <w:r>
        <w:rPr>
          <w:rFonts w:ascii="Arial" w:hAnsi="Arial" w:cs="Arial"/>
        </w:rPr>
        <w:t>Figure 6.4.1.2-10: Simulation results for Throughput Loss – Average of all users in the whole network</w:t>
      </w:r>
    </w:p>
    <w:p>
      <w:pPr>
        <w:rPr>
          <w:rFonts w:cs="Arial"/>
        </w:rPr>
      </w:pPr>
      <w:r>
        <w:rPr>
          <w:rFonts w:cs="Arial"/>
        </w:rPr>
        <w:drawing>
          <wp:inline distT="0" distB="0" distL="0" distR="0">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pPr>
        <w:pStyle w:val="28"/>
        <w:jc w:val="center"/>
        <w:rPr>
          <w:rFonts w:ascii="Arial" w:hAnsi="Arial" w:cs="Arial"/>
        </w:rPr>
      </w:pPr>
      <w:r>
        <w:rPr>
          <w:rFonts w:ascii="Arial" w:hAnsi="Arial" w:cs="Arial"/>
        </w:rPr>
        <w:t>Figure 6.4.1.2-11: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pPr>
        <w:pStyle w:val="28"/>
        <w:jc w:val="center"/>
        <w:rPr>
          <w:rFonts w:ascii="Arial" w:hAnsi="Arial" w:cs="Arial"/>
        </w:rPr>
      </w:pPr>
      <w:r>
        <w:rPr>
          <w:rFonts w:ascii="Arial" w:hAnsi="Arial" w:cs="Arial"/>
        </w:rPr>
        <w:t>Figure 6.4.1.2-12: Simulation results for Throughput Loss – Average of all users within cell of largest throughput loss of victim network</w:t>
      </w:r>
    </w:p>
    <w:p>
      <w:pPr>
        <w:rPr>
          <w:rFonts w:cs="Arial"/>
        </w:rPr>
      </w:pPr>
    </w:p>
    <w:p>
      <w:pPr>
        <w:rPr>
          <w:rFonts w:cs="Arial"/>
        </w:rPr>
      </w:pPr>
    </w:p>
    <w:p>
      <w:pPr>
        <w:pStyle w:val="7"/>
      </w:pPr>
      <w:bookmarkStart w:id="333" w:name="_Toc8122"/>
      <w:bookmarkStart w:id="334" w:name="_Toc7385"/>
      <w:bookmarkStart w:id="335" w:name="_Toc16989"/>
      <w:bookmarkStart w:id="336" w:name="_Toc28980"/>
      <w:bookmarkStart w:id="337" w:name="_Toc14135"/>
      <w:r>
        <w:t>Maximum distance between ATG BS and ATG UE is 300 km</w:t>
      </w:r>
      <w:bookmarkEnd w:id="333"/>
      <w:bookmarkEnd w:id="334"/>
      <w:bookmarkEnd w:id="335"/>
      <w:bookmarkEnd w:id="336"/>
      <w:bookmarkEnd w:id="337"/>
    </w:p>
    <w:p>
      <w:pPr>
        <w:rPr>
          <w:rFonts w:ascii="Arial" w:hAnsi="Arial" w:cs="Arial"/>
        </w:rPr>
      </w:pPr>
      <w:r>
        <w:rPr>
          <w:rFonts w:ascii="Arial" w:hAnsi="Arial" w:cs="Arial"/>
        </w:rPr>
        <w:drawing>
          <wp:inline distT="0" distB="0" distL="0" distR="0">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pPr>
        <w:pStyle w:val="28"/>
        <w:jc w:val="center"/>
        <w:rPr>
          <w:rFonts w:ascii="Arial" w:hAnsi="Arial" w:cs="Arial"/>
        </w:rPr>
      </w:pPr>
      <w:r>
        <w:rPr>
          <w:rFonts w:ascii="Arial" w:hAnsi="Arial" w:cs="Arial"/>
        </w:rPr>
        <w:t>Figure 6.4.1.2-13: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pPr>
        <w:pStyle w:val="28"/>
        <w:jc w:val="center"/>
        <w:rPr>
          <w:rFonts w:ascii="Arial" w:hAnsi="Arial" w:cs="Arial"/>
        </w:rPr>
      </w:pPr>
      <w:r>
        <w:rPr>
          <w:rFonts w:ascii="Arial" w:hAnsi="Arial" w:cs="Arial"/>
        </w:rPr>
        <w:t>Figure 6.4.1.2-14: Simulation results for Throughput Loss – Average of all users in the whole network</w:t>
      </w:r>
    </w:p>
    <w:p>
      <w:pPr>
        <w:rPr>
          <w:rFonts w:ascii="Arial" w:hAnsi="Arial" w:cs="Arial"/>
        </w:rPr>
      </w:pPr>
      <w:r>
        <w:rPr>
          <w:rFonts w:ascii="Arial" w:hAnsi="Arial" w:cs="Arial"/>
        </w:rPr>
        <w:drawing>
          <wp:inline distT="0" distB="0" distL="0" distR="0">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pPr>
        <w:pStyle w:val="28"/>
        <w:jc w:val="center"/>
        <w:rPr>
          <w:rFonts w:ascii="Arial" w:hAnsi="Arial" w:cs="Arial"/>
        </w:rPr>
      </w:pPr>
      <w:r>
        <w:rPr>
          <w:rFonts w:ascii="Arial" w:hAnsi="Arial" w:cs="Arial"/>
        </w:rPr>
        <w:t>Figure 6.4.1.2-15: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pPr>
        <w:pStyle w:val="28"/>
        <w:jc w:val="center"/>
        <w:rPr>
          <w:rFonts w:ascii="Arial" w:hAnsi="Arial" w:cs="Arial"/>
        </w:rPr>
      </w:pPr>
      <w:r>
        <w:rPr>
          <w:rFonts w:ascii="Arial" w:hAnsi="Arial" w:cs="Arial"/>
        </w:rPr>
        <w:t>Figure 6.4.1.2-16: Simulation results for Throughput Loss – Average of all users within cell of largest throughput loss of victim network</w:t>
      </w:r>
    </w:p>
    <w:p>
      <w:pPr>
        <w:rPr>
          <w:rFonts w:cs="Arial"/>
        </w:rPr>
      </w:pPr>
    </w:p>
    <w:p>
      <w:pPr>
        <w:pStyle w:val="5"/>
        <w:rPr>
          <w:lang w:val="sv-SE"/>
        </w:rPr>
      </w:pPr>
      <w:bookmarkStart w:id="338" w:name="_Toc14419"/>
      <w:bookmarkStart w:id="339" w:name="_Toc17899"/>
      <w:bookmarkStart w:id="340" w:name="_Toc32746"/>
      <w:bookmarkStart w:id="341" w:name="_Toc14815"/>
      <w:bookmarkStart w:id="342" w:name="_Toc5048"/>
      <w:r>
        <w:rPr>
          <w:lang w:val="sv-SE"/>
        </w:rPr>
        <w:t>6.4.1.3 Scenario 3: 4GHz TN DL interfering ATG DL</w:t>
      </w:r>
      <w:bookmarkEnd w:id="338"/>
      <w:bookmarkEnd w:id="339"/>
      <w:bookmarkEnd w:id="340"/>
      <w:bookmarkEnd w:id="341"/>
      <w:bookmarkEnd w:id="342"/>
    </w:p>
    <w:p>
      <w:pPr>
        <w:rPr>
          <w:rFonts w:cs="Arial"/>
          <w:lang w:val="sv-SE"/>
        </w:rPr>
      </w:pPr>
    </w:p>
    <w:p>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pPr>
        <w:rPr>
          <w:rFonts w:cs="Arial"/>
        </w:rPr>
      </w:pPr>
    </w:p>
    <w:p>
      <w:pPr>
        <w:jc w:val="center"/>
        <w:rPr>
          <w:rFonts w:ascii="Arial" w:hAnsi="Arial" w:cs="Arial"/>
          <w:b/>
          <w:bCs/>
        </w:rPr>
      </w:pPr>
      <w:r>
        <w:rPr>
          <w:rFonts w:ascii="Arial" w:hAnsi="Arial" w:cs="Arial"/>
          <w:b/>
          <w:bCs/>
        </w:rPr>
        <w:t>Table 6.4.1.3-1: Simulation results for Scenario 3 – 4GHz TN DL interfering ATG DL</w:t>
      </w:r>
    </w:p>
    <w:tbl>
      <w:tblPr>
        <w:tblStyle w:val="49"/>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4090"/>
        <w:gridCol w:w="1346"/>
        <w:gridCol w:w="1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4090"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3118" w:type="dxa"/>
            <w:gridSpan w:val="2"/>
            <w:tcBorders>
              <w:top w:val="single" w:color="auto" w:sz="4" w:space="0"/>
              <w:left w:val="single" w:color="auto" w:sz="4" w:space="0"/>
              <w:right w:val="single" w:color="auto" w:sz="4" w:space="0"/>
            </w:tcBorders>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4090"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34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343" w:name="_Toc31732"/>
      <w:bookmarkStart w:id="344" w:name="_Toc7539"/>
      <w:bookmarkStart w:id="345" w:name="_Toc30166"/>
      <w:bookmarkStart w:id="346" w:name="_Toc4061"/>
      <w:bookmarkStart w:id="347" w:name="_Toc7849"/>
      <w:r>
        <w:rPr>
          <w:rFonts w:hint="eastAsia"/>
          <w:lang w:val="en-US" w:eastAsia="zh-CN"/>
        </w:rPr>
        <w:t xml:space="preserve">6.4.1.3.1 </w:t>
      </w:r>
      <w:r>
        <w:t>Non-Subarray model</w:t>
      </w:r>
      <w:bookmarkEnd w:id="343"/>
      <w:bookmarkEnd w:id="344"/>
      <w:bookmarkEnd w:id="345"/>
      <w:bookmarkEnd w:id="346"/>
      <w:bookmarkEnd w:id="347"/>
    </w:p>
    <w:p>
      <w:pPr>
        <w:pStyle w:val="7"/>
      </w:pPr>
      <w:bookmarkStart w:id="348" w:name="_Toc20013"/>
      <w:bookmarkStart w:id="349" w:name="_Toc18705"/>
      <w:bookmarkStart w:id="350" w:name="_Toc24590"/>
      <w:bookmarkStart w:id="351" w:name="_Toc9461"/>
      <w:bookmarkStart w:id="352" w:name="_Toc21401"/>
      <w:r>
        <w:t>Maximum distance between ATG BS and ATG UE is 100 km</w:t>
      </w:r>
      <w:bookmarkEnd w:id="348"/>
      <w:bookmarkEnd w:id="349"/>
      <w:bookmarkEnd w:id="350"/>
      <w:bookmarkEnd w:id="351"/>
      <w:bookmarkEnd w:id="352"/>
    </w:p>
    <w:p>
      <w:pPr>
        <w:rPr>
          <w:rFonts w:ascii="Arial" w:hAnsi="Arial" w:cs="Arial"/>
        </w:rPr>
      </w:pPr>
      <w:r>
        <w:rPr>
          <w:rFonts w:ascii="Arial" w:hAnsi="Arial" w:cs="Arial"/>
        </w:rPr>
        <w:drawing>
          <wp:inline distT="0" distB="0" distL="0" distR="0">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cs="Arial"/>
        </w:rPr>
      </w:pPr>
    </w:p>
    <w:p>
      <w:pPr>
        <w:pStyle w:val="7"/>
      </w:pPr>
      <w:bookmarkStart w:id="353" w:name="_Toc4940"/>
      <w:bookmarkStart w:id="354" w:name="_Toc25913"/>
      <w:bookmarkStart w:id="355" w:name="_Toc17220"/>
      <w:bookmarkStart w:id="356" w:name="_Toc19114"/>
      <w:bookmarkStart w:id="357" w:name="_Toc2463"/>
      <w:r>
        <w:t>Maximum distance between ATG BS and ATG UE is 300 km</w:t>
      </w:r>
      <w:bookmarkEnd w:id="353"/>
      <w:bookmarkEnd w:id="354"/>
      <w:bookmarkEnd w:id="355"/>
      <w:bookmarkEnd w:id="356"/>
      <w:bookmarkEnd w:id="357"/>
    </w:p>
    <w:p>
      <w:pPr>
        <w:rPr>
          <w:rFonts w:ascii="Arial" w:hAnsi="Arial" w:cs="Arial"/>
        </w:rPr>
      </w:pPr>
      <w:r>
        <w:rPr>
          <w:rFonts w:ascii="Arial" w:hAnsi="Arial" w:cs="Arial"/>
        </w:rPr>
        <w:drawing>
          <wp:inline distT="0" distB="0" distL="0" distR="0">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.1</w:t>
      </w:r>
      <w:r>
        <w:rPr>
          <w:rFonts w:ascii="Arial" w:hAnsi="Arial" w:cs="Arial"/>
        </w:rPr>
        <w:t>-3: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.1</w:t>
      </w:r>
      <w:r>
        <w:rPr>
          <w:rFonts w:ascii="Arial" w:hAnsi="Arial" w:cs="Arial"/>
        </w:rPr>
        <w:t>-4: Simulation results for Throughput Loss – Average of all users in the whole network</w:t>
      </w:r>
    </w:p>
    <w:p>
      <w:pPr>
        <w:rPr>
          <w:rFonts w:cs="Arial"/>
        </w:rPr>
      </w:pPr>
    </w:p>
    <w:p>
      <w:pPr>
        <w:pStyle w:val="6"/>
      </w:pPr>
      <w:bookmarkStart w:id="358" w:name="_Toc25751"/>
      <w:bookmarkStart w:id="359" w:name="_Toc1942"/>
      <w:bookmarkStart w:id="360" w:name="_Toc10033"/>
      <w:bookmarkStart w:id="361" w:name="_Toc1900"/>
      <w:bookmarkStart w:id="362" w:name="_Toc17503"/>
      <w:r>
        <w:rPr>
          <w:rFonts w:hint="eastAsia"/>
          <w:lang w:val="en-US" w:eastAsia="zh-CN"/>
        </w:rPr>
        <w:t xml:space="preserve">6.4.1.3.2 </w:t>
      </w:r>
      <w:r>
        <w:t>Subarray model</w:t>
      </w:r>
      <w:bookmarkEnd w:id="358"/>
      <w:bookmarkEnd w:id="359"/>
      <w:bookmarkEnd w:id="360"/>
      <w:bookmarkEnd w:id="361"/>
      <w:bookmarkEnd w:id="362"/>
    </w:p>
    <w:p>
      <w:pPr>
        <w:pStyle w:val="7"/>
      </w:pPr>
      <w:bookmarkStart w:id="363" w:name="_Toc6778"/>
      <w:bookmarkStart w:id="364" w:name="_Toc21615"/>
      <w:bookmarkStart w:id="365" w:name="_Toc445"/>
      <w:bookmarkStart w:id="366" w:name="_Toc12517"/>
      <w:bookmarkStart w:id="367" w:name="_Toc1932"/>
      <w:r>
        <w:t>Maximum distance between ATG BS and ATG UE is 100 km</w:t>
      </w:r>
      <w:bookmarkEnd w:id="363"/>
      <w:bookmarkEnd w:id="364"/>
      <w:bookmarkEnd w:id="365"/>
      <w:bookmarkEnd w:id="366"/>
      <w:bookmarkEnd w:id="367"/>
    </w:p>
    <w:p>
      <w:pPr>
        <w:rPr>
          <w:rFonts w:ascii="Arial" w:hAnsi="Arial" w:cs="Arial"/>
        </w:rPr>
      </w:pPr>
      <w:r>
        <w:rPr>
          <w:rFonts w:ascii="Arial" w:hAnsi="Arial" w:cs="Arial"/>
        </w:rPr>
        <w:drawing>
          <wp:inline distT="0" distB="0" distL="0" distR="0">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1</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2</w:t>
      </w:r>
      <w:r>
        <w:rPr>
          <w:rFonts w:ascii="Arial" w:hAnsi="Arial" w:cs="Arial"/>
        </w:rPr>
        <w:t>: Simulation results for Throughput Loss – Average of all users in the whole network</w:t>
      </w:r>
    </w:p>
    <w:p>
      <w:pPr>
        <w:pStyle w:val="7"/>
        <w:rPr>
          <w:rFonts w:ascii="Arial" w:hAnsi="Arial" w:cs="Arial"/>
        </w:rPr>
      </w:pPr>
      <w:bookmarkStart w:id="368" w:name="_Toc28502"/>
      <w:bookmarkStart w:id="369" w:name="_Toc367"/>
      <w:bookmarkStart w:id="370" w:name="_Toc10250"/>
      <w:bookmarkStart w:id="371" w:name="_Toc6236"/>
      <w:bookmarkStart w:id="372" w:name="_Toc24891"/>
      <w:r>
        <w:rPr>
          <w:rFonts w:ascii="Arial" w:hAnsi="Arial" w:cs="Arial"/>
        </w:rPr>
        <w:t>Maximum distance between ATG BS and ATG UE is 300 km</w:t>
      </w:r>
      <w:bookmarkEnd w:id="368"/>
      <w:bookmarkEnd w:id="369"/>
      <w:bookmarkEnd w:id="370"/>
      <w:bookmarkEnd w:id="371"/>
      <w:bookmarkEnd w:id="372"/>
    </w:p>
    <w:p>
      <w:pPr>
        <w:rPr>
          <w:rFonts w:ascii="Arial" w:hAnsi="Arial" w:cs="Arial"/>
        </w:rPr>
      </w:pPr>
      <w:r>
        <w:rPr>
          <w:rFonts w:ascii="Arial" w:hAnsi="Arial" w:cs="Arial"/>
        </w:rPr>
        <w:drawing>
          <wp:inline distT="0" distB="0" distL="0" distR="0">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3</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pPr>
        <w:pStyle w:val="28"/>
        <w:jc w:val="center"/>
        <w:rPr>
          <w:rFonts w:ascii="Arial" w:hAnsi="Arial" w:cs="Arial"/>
        </w:rPr>
      </w:pPr>
      <w:r>
        <w:rPr>
          <w:rFonts w:ascii="Arial" w:hAnsi="Arial" w:cs="Arial"/>
        </w:rPr>
        <w:t>Figure 6.4.1.3</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4</w:t>
      </w:r>
      <w:r>
        <w:rPr>
          <w:rFonts w:ascii="Arial" w:hAnsi="Arial" w:cs="Arial"/>
        </w:rPr>
        <w:t>: Simulation results for Throughput Loss – Average of all users in the whole network</w:t>
      </w:r>
    </w:p>
    <w:p>
      <w:pPr>
        <w:rPr>
          <w:rFonts w:cs="Arial"/>
        </w:rPr>
      </w:pPr>
    </w:p>
    <w:p>
      <w:pPr>
        <w:pStyle w:val="5"/>
        <w:rPr>
          <w:lang w:val="sv-SE"/>
        </w:rPr>
      </w:pPr>
      <w:bookmarkStart w:id="373" w:name="_Toc4118"/>
      <w:bookmarkStart w:id="374" w:name="_Toc9283"/>
      <w:bookmarkStart w:id="375" w:name="_Toc17376"/>
      <w:bookmarkStart w:id="376" w:name="_Toc24205"/>
      <w:bookmarkStart w:id="377" w:name="_Toc9313"/>
      <w:r>
        <w:rPr>
          <w:lang w:val="sv-SE"/>
        </w:rPr>
        <w:t>6.4.1.4 Scenario 4: 4GHz TN UL interfering ATG UL</w:t>
      </w:r>
      <w:bookmarkEnd w:id="373"/>
      <w:bookmarkEnd w:id="374"/>
      <w:bookmarkEnd w:id="375"/>
      <w:bookmarkEnd w:id="376"/>
      <w:bookmarkEnd w:id="377"/>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jc w:val="center"/>
        <w:rPr>
          <w:rFonts w:ascii="Arial" w:hAnsi="Arial" w:cs="Arial"/>
          <w:b/>
          <w:bCs/>
        </w:rPr>
      </w:pPr>
      <w:r>
        <w:rPr>
          <w:rFonts w:ascii="Arial" w:hAnsi="Arial" w:cs="Arial"/>
          <w:b/>
          <w:bCs/>
        </w:rPr>
        <w:t>Table 6.4.1.4-1: Simulation results for Scenario 4 – 4GHz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pPr>
      <w:bookmarkStart w:id="378" w:name="_Toc4301"/>
      <w:bookmarkStart w:id="379" w:name="_Toc20493"/>
      <w:bookmarkStart w:id="380" w:name="_Toc11666"/>
      <w:bookmarkStart w:id="381" w:name="_Toc853"/>
      <w:bookmarkStart w:id="382" w:name="_Toc4932"/>
      <w:r>
        <w:rPr>
          <w:rFonts w:hint="eastAsia"/>
          <w:lang w:val="en-US" w:eastAsia="zh-CN"/>
        </w:rPr>
        <w:t xml:space="preserve">6.4.1.4.1 </w:t>
      </w:r>
      <w:r>
        <w:t>Non-Subarray model</w:t>
      </w:r>
      <w:bookmarkEnd w:id="378"/>
      <w:bookmarkEnd w:id="379"/>
      <w:bookmarkEnd w:id="380"/>
      <w:bookmarkEnd w:id="381"/>
      <w:bookmarkEnd w:id="382"/>
    </w:p>
    <w:p>
      <w:pPr>
        <w:rPr>
          <w:rFonts w:cs="Arial"/>
        </w:rPr>
      </w:pPr>
    </w:p>
    <w:p>
      <w:pPr>
        <w:rPr>
          <w:rFonts w:ascii="Arial" w:hAnsi="Arial" w:cs="Arial"/>
        </w:rPr>
      </w:pPr>
      <w:r>
        <w:rPr>
          <w:rFonts w:ascii="Arial" w:hAnsi="Arial" w:cs="Arial"/>
        </w:rPr>
        <w:drawing>
          <wp:inline distT="0" distB="0" distL="0" distR="0">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pPr>
        <w:pStyle w:val="28"/>
        <w:jc w:val="center"/>
        <w:rPr>
          <w:rFonts w:ascii="Arial" w:hAnsi="Arial" w:cs="Arial"/>
        </w:rPr>
      </w:pPr>
      <w:r>
        <w:rPr>
          <w:rFonts w:ascii="Arial" w:hAnsi="Arial" w:cs="Arial"/>
        </w:rPr>
        <w:t>Figure 6.4.1.4</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pPr>
        <w:pStyle w:val="28"/>
        <w:jc w:val="center"/>
        <w:rPr>
          <w:rFonts w:ascii="Arial" w:hAnsi="Arial" w:cs="Arial"/>
        </w:rPr>
      </w:pPr>
      <w:r>
        <w:rPr>
          <w:rFonts w:ascii="Arial" w:hAnsi="Arial" w:cs="Arial"/>
        </w:rPr>
        <w:t>Figure 6.4.1.4</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cs="Arial"/>
        </w:rPr>
      </w:pPr>
    </w:p>
    <w:p>
      <w:pPr>
        <w:rPr>
          <w:rFonts w:cs="Arial"/>
        </w:rPr>
      </w:pPr>
    </w:p>
    <w:p>
      <w:pPr>
        <w:pStyle w:val="6"/>
      </w:pPr>
      <w:bookmarkStart w:id="383" w:name="_Toc5428"/>
      <w:bookmarkStart w:id="384" w:name="_Toc3853"/>
      <w:bookmarkStart w:id="385" w:name="_Toc25471"/>
      <w:bookmarkStart w:id="386" w:name="_Toc22767"/>
      <w:bookmarkStart w:id="387" w:name="_Toc25539"/>
      <w:r>
        <w:rPr>
          <w:rFonts w:hint="eastAsia"/>
          <w:lang w:val="en-US" w:eastAsia="zh-CN"/>
        </w:rPr>
        <w:t xml:space="preserve">6.4.1.4.2 </w:t>
      </w:r>
      <w:r>
        <w:t>Subarray model</w:t>
      </w:r>
      <w:bookmarkEnd w:id="383"/>
      <w:bookmarkEnd w:id="384"/>
      <w:bookmarkEnd w:id="385"/>
      <w:bookmarkEnd w:id="386"/>
      <w:bookmarkEnd w:id="387"/>
    </w:p>
    <w:p>
      <w:pPr>
        <w:rPr>
          <w:rFonts w:cs="Arial"/>
        </w:rPr>
      </w:pPr>
    </w:p>
    <w:p>
      <w:pPr>
        <w:rPr>
          <w:rFonts w:ascii="Arial" w:hAnsi="Arial" w:cs="Arial"/>
        </w:rPr>
      </w:pPr>
      <w:r>
        <w:rPr>
          <w:rFonts w:ascii="Arial" w:hAnsi="Arial" w:cs="Arial"/>
        </w:rPr>
        <w:drawing>
          <wp:inline distT="0" distB="0" distL="0" distR="0">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pPr>
        <w:pStyle w:val="28"/>
        <w:jc w:val="center"/>
        <w:rPr>
          <w:rFonts w:ascii="Arial" w:hAnsi="Arial" w:cs="Arial"/>
        </w:rPr>
      </w:pPr>
      <w:r>
        <w:rPr>
          <w:rFonts w:ascii="Arial" w:hAnsi="Arial" w:cs="Arial"/>
        </w:rPr>
        <w:t>Figure 6.4.1.4</w:t>
      </w:r>
      <w:r>
        <w:rPr>
          <w:rFonts w:hint="default" w:ascii="Arial" w:hAnsi="Arial" w:eastAsia="SimSun" w:cs="Arial"/>
          <w:lang w:val="en-US" w:eastAsia="zh-CN"/>
        </w:rPr>
        <w:t>.1</w:t>
      </w:r>
      <w:r>
        <w:rPr>
          <w:rFonts w:ascii="Arial" w:hAnsi="Arial" w:cs="Arial"/>
        </w:rPr>
        <w:t>-3: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pPr>
        <w:pStyle w:val="28"/>
        <w:jc w:val="center"/>
        <w:rPr>
          <w:rFonts w:ascii="Arial" w:hAnsi="Arial" w:cs="Arial"/>
        </w:rPr>
      </w:pPr>
      <w:r>
        <w:rPr>
          <w:rFonts w:ascii="Arial" w:hAnsi="Arial" w:cs="Arial"/>
        </w:rPr>
        <w:t>Figure 6.4.1.4</w:t>
      </w:r>
      <w:r>
        <w:rPr>
          <w:rFonts w:hint="default" w:ascii="Arial" w:hAnsi="Arial" w:eastAsia="SimSun" w:cs="Arial"/>
          <w:lang w:val="en-US" w:eastAsia="zh-CN"/>
        </w:rPr>
        <w:t>.1</w:t>
      </w:r>
      <w:r>
        <w:rPr>
          <w:rFonts w:ascii="Arial" w:hAnsi="Arial" w:cs="Arial"/>
        </w:rPr>
        <w:t>-4: Simulation results for Throughput Loss – Average of all users in the whole network</w:t>
      </w:r>
    </w:p>
    <w:p>
      <w:pPr>
        <w:rPr>
          <w:rFonts w:cs="Arial"/>
        </w:rPr>
      </w:pPr>
    </w:p>
    <w:p>
      <w:pPr>
        <w:rPr>
          <w:rFonts w:cs="Arial"/>
        </w:rPr>
      </w:pPr>
    </w:p>
    <w:p>
      <w:pPr>
        <w:pStyle w:val="5"/>
        <w:rPr>
          <w:lang w:val="sv-SE"/>
        </w:rPr>
      </w:pPr>
      <w:bookmarkStart w:id="388" w:name="_Toc32328"/>
      <w:bookmarkStart w:id="389" w:name="_Toc8241"/>
      <w:bookmarkStart w:id="390" w:name="_Toc11776"/>
      <w:bookmarkStart w:id="391" w:name="_Toc31186"/>
      <w:bookmarkStart w:id="392" w:name="_Toc11391"/>
      <w:r>
        <w:rPr>
          <w:lang w:val="sv-SE"/>
        </w:rPr>
        <w:t>6.4.1.5 Scenario 9: 2GHz ATG DL interfering TN DL</w:t>
      </w:r>
      <w:bookmarkEnd w:id="388"/>
      <w:bookmarkEnd w:id="389"/>
      <w:bookmarkEnd w:id="390"/>
      <w:bookmarkEnd w:id="391"/>
      <w:bookmarkEnd w:id="392"/>
    </w:p>
    <w:p>
      <w:pPr>
        <w:rPr>
          <w:rFonts w:cs="Arial"/>
          <w:lang w:val="sv-SE"/>
        </w:rPr>
      </w:pPr>
    </w:p>
    <w:p>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pPr>
        <w:rPr>
          <w:rFonts w:cs="Arial"/>
        </w:rPr>
      </w:pPr>
    </w:p>
    <w:p>
      <w:pPr>
        <w:jc w:val="center"/>
        <w:rPr>
          <w:rFonts w:ascii="Arial" w:hAnsi="Arial" w:cs="Arial"/>
          <w:b/>
          <w:bCs/>
        </w:rPr>
      </w:pPr>
      <w:r>
        <w:rPr>
          <w:rFonts w:ascii="Arial" w:hAnsi="Arial" w:cs="Arial"/>
          <w:b/>
          <w:bCs/>
        </w:rPr>
        <w:t>Table 6.4.1.5-1: Simulation results for Scenario 9 – 2GHz ATG DL interfering TN DL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bottom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393" w:name="_Toc17808"/>
      <w:bookmarkStart w:id="394" w:name="_Toc14786"/>
      <w:bookmarkStart w:id="395" w:name="_Toc27055"/>
      <w:bookmarkStart w:id="396" w:name="_Toc2722"/>
      <w:bookmarkStart w:id="397" w:name="_Toc25389"/>
      <w:r>
        <w:rPr>
          <w:rFonts w:hint="eastAsia"/>
          <w:lang w:val="en-US" w:eastAsia="zh-CN"/>
        </w:rPr>
        <w:t xml:space="preserve">6.4.1.5.1 </w:t>
      </w:r>
      <w:r>
        <w:t>Non-Subarray model</w:t>
      </w:r>
      <w:bookmarkEnd w:id="393"/>
      <w:bookmarkEnd w:id="394"/>
      <w:bookmarkEnd w:id="395"/>
      <w:bookmarkEnd w:id="396"/>
      <w:bookmarkEnd w:id="397"/>
    </w:p>
    <w:p>
      <w:pPr>
        <w:rPr>
          <w:rFonts w:cs="Arial"/>
        </w:rPr>
      </w:pPr>
    </w:p>
    <w:p>
      <w:pPr>
        <w:rPr>
          <w:rFonts w:cs="Arial"/>
        </w:rPr>
      </w:pPr>
    </w:p>
    <w:p>
      <w:pPr>
        <w:rPr>
          <w:rFonts w:ascii="Arial" w:hAnsi="Arial" w:cs="Arial"/>
        </w:rPr>
      </w:pPr>
      <w:r>
        <w:rPr>
          <w:rFonts w:ascii="Arial" w:hAnsi="Arial" w:cs="Arial"/>
        </w:rPr>
        <w:drawing>
          <wp:inline distT="0" distB="0" distL="0" distR="0">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.1</w:t>
      </w:r>
      <w:r>
        <w:rPr>
          <w:rFonts w:ascii="Arial" w:hAnsi="Arial" w:cs="Arial"/>
        </w:rPr>
        <w:t>-3: Simulation results for Throughput Loss – 5% of users within cell of largest throughput loss of victim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.1</w:t>
      </w:r>
      <w:r>
        <w:rPr>
          <w:rFonts w:ascii="Arial" w:hAnsi="Arial" w:cs="Arial"/>
        </w:rPr>
        <w:t>-4: Simulation results for Throughput Loss – Average of all users within cell of largest throughput loss of victim network</w:t>
      </w:r>
    </w:p>
    <w:p>
      <w:pPr>
        <w:rPr>
          <w:rFonts w:cs="Arial"/>
        </w:rPr>
      </w:pPr>
    </w:p>
    <w:p>
      <w:pPr>
        <w:pStyle w:val="6"/>
      </w:pPr>
      <w:bookmarkStart w:id="398" w:name="_Toc23715"/>
      <w:bookmarkStart w:id="399" w:name="_Toc14050"/>
      <w:bookmarkStart w:id="400" w:name="_Toc4003"/>
      <w:bookmarkStart w:id="401" w:name="_Toc31972"/>
      <w:bookmarkStart w:id="402" w:name="_Toc16057"/>
      <w:r>
        <w:rPr>
          <w:rFonts w:hint="eastAsia"/>
          <w:lang w:val="en-US" w:eastAsia="zh-CN"/>
        </w:rPr>
        <w:t xml:space="preserve">6.4.1.5.2 </w:t>
      </w:r>
      <w:r>
        <w:t>Subarray model</w:t>
      </w:r>
      <w:bookmarkEnd w:id="398"/>
      <w:bookmarkEnd w:id="399"/>
      <w:bookmarkEnd w:id="400"/>
      <w:bookmarkEnd w:id="401"/>
      <w:bookmarkEnd w:id="402"/>
    </w:p>
    <w:p>
      <w:pPr>
        <w:rPr>
          <w:rFonts w:ascii="Arial" w:hAnsi="Arial" w:cs="Arial"/>
        </w:rPr>
      </w:pPr>
      <w:r>
        <w:rPr>
          <w:rFonts w:ascii="Arial" w:hAnsi="Arial" w:cs="Arial"/>
        </w:rPr>
        <w:drawing>
          <wp:inline distT="0" distB="0" distL="0" distR="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1</w:t>
      </w:r>
      <w:r>
        <w:rPr>
          <w:rFonts w:ascii="Arial" w:hAnsi="Arial" w:cs="Arial"/>
        </w:rPr>
        <w:t>: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2</w:t>
      </w:r>
      <w:r>
        <w:rPr>
          <w:rFonts w:ascii="Arial" w:hAnsi="Arial" w:cs="Arial"/>
        </w:rPr>
        <w:t>: Simulation results for Throughput Loss – Average of all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3</w:t>
      </w:r>
      <w:r>
        <w:rPr>
          <w:rFonts w:ascii="Arial" w:hAnsi="Arial" w:cs="Arial"/>
        </w:rPr>
        <w:t>: Simulation results for Throughput Loss – 5% of users within cell of largest throughput loss of victim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pPr>
        <w:pStyle w:val="28"/>
        <w:jc w:val="center"/>
        <w:rPr>
          <w:rFonts w:ascii="Arial" w:hAnsi="Arial" w:cs="Arial"/>
        </w:rPr>
      </w:pPr>
      <w:r>
        <w:rPr>
          <w:rFonts w:ascii="Arial" w:hAnsi="Arial" w:cs="Arial"/>
        </w:rPr>
        <w:t>Figure 6.4.1.5</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4</w:t>
      </w:r>
      <w:r>
        <w:rPr>
          <w:rFonts w:ascii="Arial" w:hAnsi="Arial" w:cs="Arial"/>
        </w:rPr>
        <w:t>: Simulation results for Throughput Loss – Average of all users within cell of largest throughput loss of victim network</w:t>
      </w:r>
    </w:p>
    <w:p>
      <w:pPr>
        <w:rPr>
          <w:rFonts w:cs="Arial"/>
        </w:rPr>
      </w:pPr>
    </w:p>
    <w:p>
      <w:pPr>
        <w:rPr>
          <w:rFonts w:cs="Arial"/>
        </w:rPr>
      </w:pPr>
    </w:p>
    <w:p>
      <w:pPr>
        <w:pStyle w:val="5"/>
        <w:rPr>
          <w:lang w:val="sv-SE"/>
        </w:rPr>
      </w:pPr>
      <w:bookmarkStart w:id="403" w:name="_Toc2323"/>
      <w:bookmarkStart w:id="404" w:name="_Toc28935"/>
      <w:bookmarkStart w:id="405" w:name="_Toc30007"/>
      <w:bookmarkStart w:id="406" w:name="_Toc1455"/>
      <w:bookmarkStart w:id="407" w:name="_Toc29257"/>
      <w:r>
        <w:rPr>
          <w:lang w:val="sv-SE"/>
        </w:rPr>
        <w:t>6.4.1.6 Scenario 10: 2GHz ATG UL interfering TN UL</w:t>
      </w:r>
      <w:bookmarkEnd w:id="403"/>
      <w:bookmarkEnd w:id="404"/>
      <w:bookmarkEnd w:id="405"/>
      <w:bookmarkEnd w:id="406"/>
      <w:bookmarkEnd w:id="407"/>
    </w:p>
    <w:p>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pPr>
        <w:jc w:val="center"/>
        <w:rPr>
          <w:rFonts w:ascii="Arial" w:hAnsi="Arial" w:cs="Arial"/>
          <w:b/>
          <w:bCs/>
        </w:rPr>
      </w:pPr>
      <w:r>
        <w:rPr>
          <w:rFonts w:ascii="Arial" w:hAnsi="Arial" w:cs="Arial"/>
          <w:b/>
          <w:bCs/>
        </w:rPr>
        <w:t>Table 6.4.1.6-1: Simulation results for Scenario 10 – 2GHz ATG UL interfering TN UL</w:t>
      </w:r>
    </w:p>
    <w:tbl>
      <w:tblPr>
        <w:tblStyle w:val="49"/>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559"/>
        <w:gridCol w:w="3969"/>
        <w:gridCol w:w="1134"/>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559"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96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2552"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559"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3969"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34"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559"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4.38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bottom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408" w:name="_Toc11648"/>
      <w:bookmarkStart w:id="409" w:name="_Toc7870"/>
      <w:bookmarkStart w:id="410" w:name="_Toc3931"/>
      <w:bookmarkStart w:id="411" w:name="_Toc27650"/>
      <w:bookmarkStart w:id="412" w:name="_Toc12202"/>
      <w:r>
        <w:rPr>
          <w:rFonts w:hint="eastAsia"/>
          <w:lang w:val="en-US" w:eastAsia="zh-CN"/>
        </w:rPr>
        <w:t xml:space="preserve">6.4.1.6.1 </w:t>
      </w:r>
      <w:r>
        <w:t>Non-Subarray model</w:t>
      </w:r>
      <w:bookmarkEnd w:id="408"/>
      <w:bookmarkEnd w:id="409"/>
      <w:bookmarkEnd w:id="410"/>
      <w:bookmarkEnd w:id="411"/>
      <w:bookmarkEnd w:id="412"/>
    </w:p>
    <w:p>
      <w:pPr>
        <w:pStyle w:val="7"/>
      </w:pPr>
      <w:bookmarkStart w:id="413" w:name="_Toc30781"/>
      <w:bookmarkStart w:id="414" w:name="_Toc29658"/>
      <w:bookmarkStart w:id="415" w:name="_Toc26207"/>
      <w:bookmarkStart w:id="416" w:name="_Toc22351"/>
      <w:bookmarkStart w:id="417" w:name="_Toc16615"/>
      <w:r>
        <w:t>Maximum distance between ATG BS and ATG UE is 100 km</w:t>
      </w:r>
      <w:bookmarkEnd w:id="413"/>
      <w:bookmarkEnd w:id="414"/>
      <w:bookmarkEnd w:id="415"/>
      <w:bookmarkEnd w:id="416"/>
      <w:bookmarkEnd w:id="417"/>
    </w:p>
    <w:p>
      <w:pPr>
        <w:keepNext/>
        <w:rPr>
          <w:rFonts w:ascii="Arial" w:hAnsi="Arial" w:cs="Arial"/>
        </w:rPr>
      </w:pPr>
      <w:r>
        <w:rPr>
          <w:rFonts w:ascii="Arial" w:hAnsi="Arial" w:cs="Arial"/>
        </w:rPr>
        <w:drawing>
          <wp:inline distT="0" distB="0" distL="0" distR="0">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ascii="Arial" w:hAnsi="Arial" w:cs="Arial"/>
        </w:rPr>
      </w:pP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-3: Simulation results for Throughput Loss – 5% of users within cell of largest throughput loss of victim network</w:t>
      </w:r>
    </w:p>
    <w:p>
      <w:pPr>
        <w:rPr>
          <w:rFonts w:ascii="Arial" w:hAnsi="Arial" w:cs="Arial"/>
        </w:rPr>
      </w:pPr>
    </w:p>
    <w:p>
      <w:pPr>
        <w:rPr>
          <w:rFonts w:ascii="Arial" w:hAnsi="Arial" w:cs="Arial"/>
        </w:rPr>
      </w:pPr>
      <w:r>
        <w:rPr>
          <w:rFonts w:ascii="Arial" w:hAnsi="Arial" w:cs="Arial"/>
        </w:rPr>
        <w:drawing>
          <wp:inline distT="0" distB="0" distL="0" distR="0">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-4: Simulation results for Throughput Loss – Average of all users within cell of largest throughput loss of victim network</w:t>
      </w:r>
    </w:p>
    <w:p>
      <w:pPr>
        <w:rPr>
          <w:rFonts w:cs="Arial"/>
        </w:rPr>
      </w:pPr>
    </w:p>
    <w:p>
      <w:pPr>
        <w:pStyle w:val="7"/>
      </w:pPr>
      <w:bookmarkStart w:id="418" w:name="_Toc7267"/>
      <w:bookmarkStart w:id="419" w:name="_Toc19080"/>
      <w:bookmarkStart w:id="420" w:name="_Toc29522"/>
      <w:bookmarkStart w:id="421" w:name="_Toc11049"/>
      <w:bookmarkStart w:id="422" w:name="_Toc305"/>
      <w:r>
        <w:t>Maximum distance between ATG BS and ATG UE is 300 km</w:t>
      </w:r>
      <w:bookmarkEnd w:id="418"/>
      <w:bookmarkEnd w:id="419"/>
      <w:bookmarkEnd w:id="420"/>
      <w:bookmarkEnd w:id="421"/>
      <w:bookmarkEnd w:id="422"/>
    </w:p>
    <w:p>
      <w:pPr>
        <w:rPr>
          <w:rFonts w:ascii="Arial" w:hAnsi="Arial" w:cs="Arial"/>
        </w:rPr>
      </w:pPr>
      <w:r>
        <w:rPr>
          <w:rFonts w:ascii="Arial" w:hAnsi="Arial" w:cs="Arial"/>
        </w:rPr>
        <w:drawing>
          <wp:inline distT="0" distB="0" distL="0" distR="0">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-5: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-6: Simulation results for Throughput Loss – Average of all users in the whole network</w:t>
      </w:r>
    </w:p>
    <w:p>
      <w:pPr>
        <w:rPr>
          <w:rFonts w:ascii="Arial" w:hAnsi="Arial" w:cs="Arial"/>
        </w:rPr>
      </w:pPr>
      <w:r>
        <w:rPr>
          <w:rFonts w:ascii="Arial" w:hAnsi="Arial" w:cs="Arial"/>
        </w:rPr>
        <w:drawing>
          <wp:inline distT="0" distB="0" distL="0" distR="0">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-7: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.1</w:t>
      </w:r>
      <w:r>
        <w:rPr>
          <w:rFonts w:ascii="Arial" w:hAnsi="Arial" w:cs="Arial"/>
        </w:rPr>
        <w:t>-8: Simulation results for Throughput Loss – Average of all users within cell of largest throughput loss of victim network</w:t>
      </w:r>
    </w:p>
    <w:p>
      <w:pPr>
        <w:pStyle w:val="6"/>
      </w:pPr>
      <w:bookmarkStart w:id="423" w:name="_Toc6523"/>
      <w:bookmarkStart w:id="424" w:name="_Toc4494"/>
      <w:bookmarkStart w:id="425" w:name="_Toc9492"/>
      <w:bookmarkStart w:id="426" w:name="_Toc20285"/>
      <w:bookmarkStart w:id="427" w:name="_Toc20618"/>
      <w:r>
        <w:rPr>
          <w:rFonts w:hint="eastAsia"/>
          <w:lang w:val="en-US" w:eastAsia="zh-CN"/>
        </w:rPr>
        <w:t xml:space="preserve">6.4.1.6.2 </w:t>
      </w:r>
      <w:r>
        <w:t>Subarray model</w:t>
      </w:r>
      <w:bookmarkEnd w:id="423"/>
      <w:bookmarkEnd w:id="424"/>
      <w:bookmarkEnd w:id="425"/>
      <w:bookmarkEnd w:id="426"/>
      <w:bookmarkEnd w:id="427"/>
    </w:p>
    <w:p>
      <w:pPr>
        <w:pStyle w:val="7"/>
      </w:pPr>
      <w:bookmarkStart w:id="428" w:name="_Toc24383"/>
      <w:bookmarkStart w:id="429" w:name="_Toc7366"/>
      <w:bookmarkStart w:id="430" w:name="_Toc25834"/>
      <w:bookmarkStart w:id="431" w:name="_Toc23601"/>
      <w:bookmarkStart w:id="432" w:name="_Toc8551"/>
      <w:r>
        <w:t>Maximum distance between ATG BS and ATG UE is 100 km</w:t>
      </w:r>
      <w:bookmarkEnd w:id="428"/>
      <w:bookmarkEnd w:id="429"/>
      <w:bookmarkEnd w:id="430"/>
      <w:bookmarkEnd w:id="431"/>
      <w:bookmarkEnd w:id="432"/>
    </w:p>
    <w:p>
      <w:pPr>
        <w:rPr>
          <w:rFonts w:ascii="Arial" w:hAnsi="Arial" w:cs="Arial"/>
        </w:rPr>
      </w:pPr>
      <w:r>
        <w:rPr>
          <w:rFonts w:ascii="Arial" w:hAnsi="Arial" w:cs="Arial"/>
        </w:rPr>
        <w:drawing>
          <wp:inline distT="0" distB="0" distL="0" distR="0">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1</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2</w:t>
      </w:r>
      <w:r>
        <w:rPr>
          <w:rFonts w:ascii="Arial" w:hAnsi="Arial" w:cs="Arial"/>
        </w:rPr>
        <w:t>: Simulation results for Throughput Loss – Average of all users in the whole network</w:t>
      </w:r>
    </w:p>
    <w:p>
      <w:pPr>
        <w:rPr>
          <w:rFonts w:ascii="Arial" w:hAnsi="Arial" w:cs="Arial"/>
        </w:rPr>
      </w:pPr>
      <w:r>
        <w:rPr>
          <w:rFonts w:ascii="Arial" w:hAnsi="Arial" w:cs="Arial"/>
        </w:rPr>
        <w:drawing>
          <wp:inline distT="0" distB="0" distL="0" distR="0">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3</w:t>
      </w:r>
      <w:r>
        <w:rPr>
          <w:rFonts w:ascii="Arial" w:hAnsi="Arial" w:cs="Arial"/>
        </w:rPr>
        <w:t>: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4</w:t>
      </w:r>
      <w:r>
        <w:rPr>
          <w:rFonts w:ascii="Arial" w:hAnsi="Arial" w:cs="Arial"/>
        </w:rPr>
        <w:t>: Simulation results for Throughput Loss – Average of all users within cell of largest throughput loss of victim network</w:t>
      </w:r>
    </w:p>
    <w:p>
      <w:pPr>
        <w:pStyle w:val="7"/>
      </w:pPr>
      <w:bookmarkStart w:id="433" w:name="_Toc28295"/>
      <w:bookmarkStart w:id="434" w:name="_Toc20711"/>
      <w:bookmarkStart w:id="435" w:name="_Toc12952"/>
      <w:bookmarkStart w:id="436" w:name="_Toc13161"/>
      <w:bookmarkStart w:id="437" w:name="_Toc2174"/>
      <w:r>
        <w:t>Maximum distance between ATG BS and ATG UE is 300 km</w:t>
      </w:r>
      <w:bookmarkEnd w:id="433"/>
      <w:bookmarkEnd w:id="434"/>
      <w:bookmarkEnd w:id="435"/>
      <w:bookmarkEnd w:id="436"/>
      <w:bookmarkEnd w:id="437"/>
    </w:p>
    <w:p>
      <w:pPr>
        <w:rPr>
          <w:rFonts w:ascii="Arial" w:hAnsi="Arial" w:cs="Arial"/>
        </w:rPr>
      </w:pPr>
      <w:r>
        <w:rPr>
          <w:rFonts w:ascii="Arial" w:hAnsi="Arial" w:cs="Arial"/>
        </w:rPr>
        <w:drawing>
          <wp:inline distT="0" distB="0" distL="0" distR="0">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5</w:t>
      </w:r>
      <w:r>
        <w:rPr>
          <w:rFonts w:ascii="Arial" w:hAnsi="Arial" w:cs="Arial"/>
        </w:rPr>
        <w:t>: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6</w:t>
      </w:r>
      <w:r>
        <w:rPr>
          <w:rFonts w:ascii="Arial" w:hAnsi="Arial" w:cs="Arial"/>
        </w:rPr>
        <w:t>: Simulation results for Throughput Loss – Average of all users in the whole network</w:t>
      </w:r>
    </w:p>
    <w:p>
      <w:pPr>
        <w:rPr>
          <w:rFonts w:ascii="Arial" w:hAnsi="Arial" w:cs="Arial"/>
        </w:rPr>
      </w:pPr>
      <w:r>
        <w:rPr>
          <w:rFonts w:ascii="Arial" w:hAnsi="Arial" w:cs="Arial"/>
        </w:rPr>
        <w:drawing>
          <wp:inline distT="0" distB="0" distL="0" distR="0">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7</w:t>
      </w:r>
      <w:r>
        <w:rPr>
          <w:rFonts w:ascii="Arial" w:hAnsi="Arial" w:cs="Arial"/>
        </w:rPr>
        <w:t>: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pPr>
        <w:pStyle w:val="28"/>
        <w:jc w:val="center"/>
        <w:rPr>
          <w:rFonts w:ascii="Arial" w:hAnsi="Arial" w:cs="Arial"/>
        </w:rPr>
      </w:pPr>
      <w:r>
        <w:rPr>
          <w:rFonts w:ascii="Arial" w:hAnsi="Arial" w:cs="Arial"/>
        </w:rPr>
        <w:t>Figure 6.4.1.6</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8</w:t>
      </w:r>
      <w:r>
        <w:rPr>
          <w:rFonts w:ascii="Arial" w:hAnsi="Arial" w:cs="Arial"/>
        </w:rPr>
        <w:t>: Simulation results for Throughput Loss – Average of all users within cell of largest throughput loss of victim network</w:t>
      </w:r>
    </w:p>
    <w:p>
      <w:pPr>
        <w:rPr>
          <w:rFonts w:cs="Arial"/>
        </w:rPr>
      </w:pPr>
    </w:p>
    <w:p>
      <w:pPr>
        <w:pStyle w:val="5"/>
        <w:rPr>
          <w:lang w:val="sv-SE"/>
        </w:rPr>
      </w:pPr>
      <w:bookmarkStart w:id="438" w:name="_Toc27872"/>
      <w:bookmarkStart w:id="439" w:name="_Toc28788"/>
      <w:bookmarkStart w:id="440" w:name="_Toc7160"/>
      <w:bookmarkStart w:id="441" w:name="_Toc4392"/>
      <w:bookmarkStart w:id="442" w:name="_Toc21118"/>
      <w:r>
        <w:rPr>
          <w:lang w:val="sv-SE"/>
        </w:rPr>
        <w:t>6.4.1.7 Scenario 11: 2GHz TN DL interfering ATG DL</w:t>
      </w:r>
      <w:bookmarkEnd w:id="438"/>
      <w:bookmarkEnd w:id="439"/>
      <w:bookmarkEnd w:id="440"/>
      <w:bookmarkEnd w:id="441"/>
      <w:bookmarkEnd w:id="442"/>
    </w:p>
    <w:p>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pPr>
        <w:jc w:val="center"/>
        <w:rPr>
          <w:rFonts w:ascii="Arial" w:hAnsi="Arial" w:cs="Arial"/>
          <w:b/>
          <w:bCs/>
        </w:rPr>
      </w:pPr>
      <w:r>
        <w:rPr>
          <w:rFonts w:ascii="Arial" w:hAnsi="Arial" w:cs="Arial"/>
          <w:b/>
          <w:bCs/>
        </w:rPr>
        <w:t>Table 6.4.1.7-1: Simulation results for Scenario 11 – 2GHz TN DL interfering ATG DL</w:t>
      </w:r>
    </w:p>
    <w:tbl>
      <w:tblPr>
        <w:tblStyle w:val="49"/>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9"/>
        <w:gridCol w:w="1127"/>
        <w:gridCol w:w="3152"/>
        <w:gridCol w:w="1719"/>
        <w:gridCol w:w="1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34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27"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3439"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719"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27"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continue"/>
            <w:tcBorders>
              <w:left w:val="single" w:color="auto" w:sz="4" w:space="0"/>
              <w:right w:val="single" w:color="auto" w:sz="4" w:space="0"/>
            </w:tcBorders>
            <w:vAlign w:val="center"/>
          </w:tcPr>
          <w:p>
            <w:pPr>
              <w:jc w:val="cente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349" w:type="dxa"/>
            <w:vMerge w:val="continue"/>
            <w:tcBorders>
              <w:left w:val="single" w:color="auto" w:sz="4" w:space="0"/>
              <w:right w:val="single" w:color="auto" w:sz="4" w:space="0"/>
            </w:tcBorders>
            <w:vAlign w:val="center"/>
          </w:tcPr>
          <w:p>
            <w:pPr>
              <w:jc w:val="cente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8.21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4.08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443" w:name="_Toc1077"/>
      <w:bookmarkStart w:id="444" w:name="_Toc20686"/>
      <w:bookmarkStart w:id="445" w:name="_Toc4530"/>
      <w:bookmarkStart w:id="446" w:name="_Toc29398"/>
      <w:bookmarkStart w:id="447" w:name="_Toc4379"/>
      <w:r>
        <w:rPr>
          <w:rFonts w:hint="eastAsia"/>
          <w:lang w:val="en-US" w:eastAsia="zh-CN"/>
        </w:rPr>
        <w:t xml:space="preserve">6.4.1.7.1 </w:t>
      </w:r>
      <w:r>
        <w:t>Non-Subarray model</w:t>
      </w:r>
      <w:bookmarkEnd w:id="443"/>
      <w:bookmarkEnd w:id="444"/>
      <w:bookmarkEnd w:id="445"/>
      <w:bookmarkEnd w:id="446"/>
      <w:bookmarkEnd w:id="447"/>
    </w:p>
    <w:p>
      <w:pPr>
        <w:pStyle w:val="7"/>
      </w:pPr>
      <w:bookmarkStart w:id="448" w:name="_Toc31850"/>
      <w:bookmarkStart w:id="449" w:name="_Toc2699"/>
      <w:bookmarkStart w:id="450" w:name="_Toc9995"/>
      <w:bookmarkStart w:id="451" w:name="_Toc15755"/>
      <w:bookmarkStart w:id="452" w:name="_Toc28267"/>
      <w:r>
        <w:t>Maximum distance between ATG BS and ATG UE is 100 km</w:t>
      </w:r>
      <w:bookmarkEnd w:id="448"/>
      <w:bookmarkEnd w:id="449"/>
      <w:bookmarkEnd w:id="450"/>
      <w:bookmarkEnd w:id="451"/>
      <w:bookmarkEnd w:id="452"/>
    </w:p>
    <w:p>
      <w:pPr>
        <w:rPr>
          <w:rFonts w:ascii="Arial" w:hAnsi="Arial" w:cs="Arial"/>
        </w:rPr>
      </w:pPr>
      <w:r>
        <w:rPr>
          <w:rFonts w:ascii="Arial" w:hAnsi="Arial" w:cs="Arial"/>
        </w:rPr>
        <w:drawing>
          <wp:inline distT="0" distB="0" distL="0" distR="0">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r>
        <w:rPr>
          <w:rFonts w:ascii="Arial" w:hAnsi="Arial" w:cs="Arial"/>
        </w:rPr>
        <w:drawing>
          <wp:inline distT="0" distB="0" distL="0" distR="0">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ascii="Arial" w:hAnsi="Arial" w:cs="Arial"/>
        </w:rPr>
      </w:pPr>
    </w:p>
    <w:p>
      <w:pPr>
        <w:pStyle w:val="7"/>
      </w:pPr>
      <w:bookmarkStart w:id="453" w:name="_Toc11443"/>
      <w:bookmarkStart w:id="454" w:name="_Toc25954"/>
      <w:bookmarkStart w:id="455" w:name="_Toc6500"/>
      <w:bookmarkStart w:id="456" w:name="_Toc10706"/>
      <w:bookmarkStart w:id="457" w:name="_Toc29555"/>
      <w:r>
        <w:t>Maximum distance between ATG BS and ATG UE is 300 km</w:t>
      </w:r>
      <w:bookmarkEnd w:id="453"/>
      <w:bookmarkEnd w:id="454"/>
      <w:bookmarkEnd w:id="455"/>
      <w:bookmarkEnd w:id="456"/>
      <w:bookmarkEnd w:id="457"/>
    </w:p>
    <w:p>
      <w:pPr>
        <w:rPr>
          <w:rFonts w:ascii="Arial" w:hAnsi="Arial" w:cs="Arial"/>
        </w:rPr>
      </w:pPr>
      <w:r>
        <w:rPr>
          <w:rFonts w:ascii="Arial" w:hAnsi="Arial" w:cs="Arial"/>
        </w:rPr>
        <w:drawing>
          <wp:inline distT="0" distB="0" distL="0" distR="0">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-3: Simulation results for Throughput Loss - 5% of users in the whole network</w:t>
      </w:r>
    </w:p>
    <w:p>
      <w:pPr>
        <w:rPr>
          <w:rFonts w:ascii="Arial" w:hAnsi="Arial" w:cs="Arial"/>
        </w:rPr>
      </w:pPr>
      <w:r>
        <w:rPr>
          <w:rFonts w:ascii="Arial" w:hAnsi="Arial" w:cs="Arial"/>
        </w:rPr>
        <w:drawing>
          <wp:inline distT="0" distB="0" distL="0" distR="0">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-4: Simulation results for Throughput Loss – Average of all users in the whole network</w:t>
      </w:r>
    </w:p>
    <w:p>
      <w:pPr>
        <w:rPr>
          <w:rFonts w:cs="Arial"/>
        </w:rPr>
      </w:pPr>
    </w:p>
    <w:p>
      <w:pPr>
        <w:pStyle w:val="6"/>
      </w:pPr>
      <w:bookmarkStart w:id="458" w:name="_Toc5174"/>
      <w:bookmarkStart w:id="459" w:name="_Toc492"/>
      <w:bookmarkStart w:id="460" w:name="_Toc12570"/>
      <w:bookmarkStart w:id="461" w:name="_Toc13155"/>
      <w:bookmarkStart w:id="462" w:name="_Toc31188"/>
      <w:r>
        <w:rPr>
          <w:rFonts w:hint="eastAsia"/>
          <w:lang w:val="en-US" w:eastAsia="zh-CN"/>
        </w:rPr>
        <w:t xml:space="preserve">6.4.1.7.2 </w:t>
      </w:r>
      <w:r>
        <w:t>Subarray model</w:t>
      </w:r>
      <w:bookmarkEnd w:id="458"/>
      <w:bookmarkEnd w:id="459"/>
      <w:bookmarkEnd w:id="460"/>
      <w:bookmarkEnd w:id="461"/>
      <w:bookmarkEnd w:id="462"/>
    </w:p>
    <w:p>
      <w:pPr>
        <w:pStyle w:val="7"/>
      </w:pPr>
      <w:bookmarkStart w:id="463" w:name="_Toc24505"/>
      <w:bookmarkStart w:id="464" w:name="_Toc2494"/>
      <w:bookmarkStart w:id="465" w:name="_Toc3521"/>
      <w:bookmarkStart w:id="466" w:name="_Toc2336"/>
      <w:bookmarkStart w:id="467" w:name="_Toc26962"/>
      <w:r>
        <w:t>Maximum distance between ATG BS and ATG UE is 100 km</w:t>
      </w:r>
      <w:bookmarkEnd w:id="463"/>
      <w:bookmarkEnd w:id="464"/>
      <w:bookmarkEnd w:id="465"/>
      <w:bookmarkEnd w:id="466"/>
      <w:bookmarkEnd w:id="467"/>
    </w:p>
    <w:p>
      <w:pPr>
        <w:rPr>
          <w:rFonts w:ascii="Arial" w:hAnsi="Arial" w:cs="Arial"/>
        </w:rPr>
      </w:pPr>
      <w:r>
        <w:rPr>
          <w:rFonts w:ascii="Arial" w:hAnsi="Arial" w:cs="Arial"/>
        </w:rPr>
        <w:drawing>
          <wp:inline distT="0" distB="0" distL="0" distR="0">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-5: Simulation results for Throughput Loss - 5% of users in the whole network</w:t>
      </w:r>
    </w:p>
    <w:p>
      <w:pPr>
        <w:rPr>
          <w:rFonts w:ascii="Arial" w:hAnsi="Arial" w:cs="Arial"/>
        </w:rPr>
      </w:pPr>
      <w:r>
        <w:rPr>
          <w:rFonts w:ascii="Arial" w:hAnsi="Arial" w:cs="Arial"/>
        </w:rPr>
        <w:drawing>
          <wp:inline distT="0" distB="0" distL="0" distR="0">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-6: Simulation results for Throughput Loss – Average of all users in the whole network</w:t>
      </w:r>
    </w:p>
    <w:p>
      <w:pPr>
        <w:pStyle w:val="7"/>
      </w:pPr>
      <w:bookmarkStart w:id="468" w:name="_Toc19846"/>
      <w:bookmarkStart w:id="469" w:name="_Toc29127"/>
      <w:bookmarkStart w:id="470" w:name="_Toc1875"/>
      <w:bookmarkStart w:id="471" w:name="_Toc25122"/>
      <w:bookmarkStart w:id="472" w:name="_Toc28037"/>
      <w:r>
        <w:t>Maximum distance between ATG BS and ATG UE is 300 km</w:t>
      </w:r>
      <w:bookmarkEnd w:id="468"/>
      <w:bookmarkEnd w:id="469"/>
      <w:bookmarkEnd w:id="470"/>
      <w:bookmarkEnd w:id="471"/>
      <w:bookmarkEnd w:id="472"/>
    </w:p>
    <w:p>
      <w:pPr>
        <w:rPr>
          <w:rFonts w:ascii="Arial" w:hAnsi="Arial" w:cs="Arial"/>
        </w:rPr>
      </w:pPr>
      <w:r>
        <w:rPr>
          <w:rFonts w:ascii="Arial" w:hAnsi="Arial" w:cs="Arial"/>
        </w:rPr>
        <w:drawing>
          <wp:inline distT="0" distB="0" distL="0" distR="0">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-7: Simulation results for Throughput Loss - 5% of users in the whole network</w:t>
      </w:r>
    </w:p>
    <w:p>
      <w:pPr>
        <w:rPr>
          <w:rFonts w:ascii="Arial" w:hAnsi="Arial" w:cs="Arial"/>
        </w:rPr>
      </w:pPr>
      <w:r>
        <w:rPr>
          <w:rFonts w:ascii="Arial" w:hAnsi="Arial" w:cs="Arial"/>
        </w:rPr>
        <w:drawing>
          <wp:inline distT="0" distB="0" distL="0" distR="0">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pPr>
        <w:pStyle w:val="28"/>
        <w:jc w:val="center"/>
        <w:rPr>
          <w:rFonts w:ascii="Arial" w:hAnsi="Arial" w:cs="Arial"/>
        </w:rPr>
      </w:pPr>
      <w:r>
        <w:rPr>
          <w:rFonts w:ascii="Arial" w:hAnsi="Arial" w:cs="Arial"/>
        </w:rPr>
        <w:t>Figure 6.4.1.7</w:t>
      </w:r>
      <w:r>
        <w:rPr>
          <w:rFonts w:hint="default" w:ascii="Arial" w:hAnsi="Arial" w:eastAsia="SimSun" w:cs="Arial"/>
          <w:lang w:val="en-US" w:eastAsia="zh-CN"/>
        </w:rPr>
        <w:t>.1</w:t>
      </w:r>
      <w:r>
        <w:rPr>
          <w:rFonts w:ascii="Arial" w:hAnsi="Arial" w:cs="Arial"/>
        </w:rPr>
        <w:t>-8: Simulation results for Throughput Loss – Average of all users in the whole network</w:t>
      </w:r>
    </w:p>
    <w:p>
      <w:pPr>
        <w:rPr>
          <w:rFonts w:cs="Arial"/>
        </w:rPr>
      </w:pPr>
    </w:p>
    <w:p>
      <w:pPr>
        <w:pStyle w:val="5"/>
        <w:rPr>
          <w:lang w:val="sv-SE"/>
        </w:rPr>
      </w:pPr>
      <w:bookmarkStart w:id="473" w:name="_Toc18004"/>
      <w:bookmarkStart w:id="474" w:name="_Toc32262"/>
      <w:bookmarkStart w:id="475" w:name="_Toc13267"/>
      <w:bookmarkStart w:id="476" w:name="_Toc17755"/>
      <w:bookmarkStart w:id="477" w:name="_Toc723"/>
      <w:r>
        <w:rPr>
          <w:lang w:val="sv-SE"/>
        </w:rPr>
        <w:t>6.4.1.8 Scenario 12: 2GHz TN UL interfering ATG UL</w:t>
      </w:r>
      <w:bookmarkEnd w:id="473"/>
      <w:bookmarkEnd w:id="474"/>
      <w:bookmarkEnd w:id="475"/>
      <w:bookmarkEnd w:id="476"/>
      <w:bookmarkEnd w:id="477"/>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jc w:val="center"/>
        <w:rPr>
          <w:rFonts w:ascii="Arial" w:hAnsi="Arial" w:cs="Arial"/>
          <w:b/>
          <w:bCs/>
        </w:rPr>
      </w:pPr>
      <w:r>
        <w:rPr>
          <w:rFonts w:ascii="Arial" w:hAnsi="Arial" w:cs="Arial"/>
          <w:b/>
          <w:bCs/>
        </w:rPr>
        <w:t>Table 6.4.1.8-1: Simulation results for Scenario 12 – 2GHz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478" w:name="_Toc17101"/>
      <w:bookmarkStart w:id="479" w:name="_Toc1987"/>
      <w:bookmarkStart w:id="480" w:name="_Toc21916"/>
      <w:bookmarkStart w:id="481" w:name="_Toc3304"/>
      <w:bookmarkStart w:id="482" w:name="_Toc4280"/>
      <w:r>
        <w:rPr>
          <w:rFonts w:hint="eastAsia"/>
          <w:lang w:val="en-US" w:eastAsia="zh-CN"/>
        </w:rPr>
        <w:t xml:space="preserve">6.4.1.8.1 </w:t>
      </w:r>
      <w:r>
        <w:t>Non-Subarray model</w:t>
      </w:r>
      <w:bookmarkEnd w:id="478"/>
      <w:bookmarkEnd w:id="479"/>
      <w:bookmarkEnd w:id="480"/>
      <w:bookmarkEnd w:id="481"/>
      <w:bookmarkEnd w:id="482"/>
    </w:p>
    <w:p>
      <w:pPr>
        <w:rPr>
          <w:rFonts w:ascii="Arial" w:hAnsi="Arial" w:cs="Arial"/>
        </w:rPr>
      </w:pPr>
      <w:r>
        <w:rPr>
          <w:rFonts w:ascii="Arial" w:hAnsi="Arial" w:cs="Arial"/>
        </w:rPr>
        <w:drawing>
          <wp:inline distT="0" distB="0" distL="0" distR="0">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pPr>
        <w:pStyle w:val="28"/>
        <w:jc w:val="center"/>
        <w:rPr>
          <w:rFonts w:ascii="Arial" w:hAnsi="Arial" w:cs="Arial"/>
        </w:rPr>
      </w:pPr>
      <w:r>
        <w:rPr>
          <w:rFonts w:ascii="Arial" w:hAnsi="Arial" w:cs="Arial"/>
        </w:rPr>
        <w:t>Figure 6.4.1.8</w:t>
      </w:r>
      <w:r>
        <w:rPr>
          <w:rFonts w:hint="default" w:ascii="Arial" w:hAnsi="Arial" w:eastAsia="SimSun" w:cs="Arial"/>
          <w:lang w:val="en-US" w:eastAsia="zh-CN"/>
        </w:rPr>
        <w:t>.1</w:t>
      </w:r>
      <w:r>
        <w:rPr>
          <w:rFonts w:ascii="Arial" w:hAnsi="Arial" w:cs="Arial"/>
        </w:rPr>
        <w:t>-1: Simulation results for Throughput Loss - 5% of users in the whole network</w:t>
      </w:r>
    </w:p>
    <w:p>
      <w:pPr>
        <w:rPr>
          <w:rFonts w:ascii="Arial" w:hAnsi="Arial" w:cs="Arial"/>
        </w:rPr>
      </w:pPr>
      <w:r>
        <w:rPr>
          <w:rFonts w:ascii="Arial" w:hAnsi="Arial" w:cs="Arial"/>
        </w:rPr>
        <w:drawing>
          <wp:inline distT="0" distB="0" distL="0" distR="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pPr>
        <w:pStyle w:val="28"/>
        <w:jc w:val="center"/>
        <w:rPr>
          <w:rFonts w:ascii="Arial" w:hAnsi="Arial" w:cs="Arial"/>
        </w:rPr>
      </w:pPr>
      <w:r>
        <w:rPr>
          <w:rFonts w:ascii="Arial" w:hAnsi="Arial" w:cs="Arial"/>
        </w:rPr>
        <w:t>Figure 6.4.1.8</w:t>
      </w:r>
      <w:r>
        <w:rPr>
          <w:rFonts w:hint="default" w:ascii="Arial" w:hAnsi="Arial" w:eastAsia="SimSun" w:cs="Arial"/>
          <w:lang w:val="en-US" w:eastAsia="zh-CN"/>
        </w:rPr>
        <w:t>.1</w:t>
      </w:r>
      <w:r>
        <w:rPr>
          <w:rFonts w:ascii="Arial" w:hAnsi="Arial" w:cs="Arial"/>
        </w:rPr>
        <w:t>-2: Simulation results for Throughput Loss – Average of all users in the whole network</w:t>
      </w:r>
    </w:p>
    <w:p>
      <w:pPr>
        <w:rPr>
          <w:rFonts w:cs="Arial"/>
        </w:rPr>
      </w:pPr>
    </w:p>
    <w:p>
      <w:pPr>
        <w:pStyle w:val="6"/>
      </w:pPr>
      <w:bookmarkStart w:id="483" w:name="_Toc26830"/>
      <w:bookmarkStart w:id="484" w:name="_Toc15087"/>
      <w:bookmarkStart w:id="485" w:name="_Toc10390"/>
      <w:bookmarkStart w:id="486" w:name="_Toc9739"/>
      <w:bookmarkStart w:id="487" w:name="_Toc32201"/>
      <w:r>
        <w:rPr>
          <w:rFonts w:hint="eastAsia"/>
          <w:lang w:val="en-US" w:eastAsia="zh-CN"/>
        </w:rPr>
        <w:t xml:space="preserve">6.4.1.8.2 </w:t>
      </w:r>
      <w:r>
        <w:t>Subarray model</w:t>
      </w:r>
      <w:bookmarkEnd w:id="483"/>
      <w:bookmarkEnd w:id="484"/>
      <w:bookmarkEnd w:id="485"/>
      <w:bookmarkEnd w:id="486"/>
      <w:bookmarkEnd w:id="487"/>
    </w:p>
    <w:p>
      <w:pPr>
        <w:rPr>
          <w:rFonts w:cs="Arial"/>
        </w:rPr>
      </w:pPr>
      <w:r>
        <w:rPr>
          <w:rFonts w:cs="Arial"/>
        </w:rPr>
        <w:drawing>
          <wp:inline distT="0" distB="0" distL="0" distR="0">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pPr>
        <w:pStyle w:val="28"/>
        <w:jc w:val="center"/>
        <w:rPr>
          <w:rFonts w:cs="Arial"/>
        </w:rPr>
      </w:pPr>
      <w:r>
        <w:rPr>
          <w:rFonts w:cs="Arial"/>
        </w:rPr>
        <w:t>Figure 6.4.1.8</w:t>
      </w:r>
      <w:r>
        <w:rPr>
          <w:rFonts w:hint="eastAsia" w:eastAsia="SimSun" w:cs="Arial"/>
          <w:lang w:val="en-US" w:eastAsia="zh-CN"/>
        </w:rPr>
        <w:t>.2</w:t>
      </w:r>
      <w:r>
        <w:rPr>
          <w:rFonts w:cs="Arial"/>
        </w:rPr>
        <w:t>-</w:t>
      </w:r>
      <w:r>
        <w:rPr>
          <w:rFonts w:hint="eastAsia" w:eastAsia="SimSun" w:cs="Arial"/>
          <w:lang w:val="en-US" w:eastAsia="zh-CN"/>
        </w:rPr>
        <w:t>1</w:t>
      </w:r>
      <w:r>
        <w:rPr>
          <w:rFonts w:cs="Arial"/>
        </w:rPr>
        <w:t>: Simulation results for Throughput Loss - 5% of users in the whole network</w:t>
      </w:r>
    </w:p>
    <w:p>
      <w:pPr>
        <w:rPr>
          <w:rFonts w:cs="Arial"/>
        </w:rPr>
      </w:pPr>
      <w:r>
        <w:rPr>
          <w:rFonts w:cs="Arial"/>
        </w:rPr>
        <w:drawing>
          <wp:inline distT="0" distB="0" distL="0" distR="0">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pPr>
        <w:pStyle w:val="28"/>
        <w:jc w:val="center"/>
        <w:rPr>
          <w:rFonts w:ascii="Arial" w:hAnsi="Arial" w:cs="Arial"/>
        </w:rPr>
      </w:pPr>
      <w:r>
        <w:rPr>
          <w:rFonts w:ascii="Arial" w:hAnsi="Arial" w:cs="Arial"/>
        </w:rPr>
        <w:t>Figure 6.4.1.8</w:t>
      </w:r>
      <w:r>
        <w:rPr>
          <w:rFonts w:hint="default" w:ascii="Arial" w:hAnsi="Arial" w:eastAsia="SimSun" w:cs="Arial"/>
          <w:lang w:val="en-US" w:eastAsia="zh-CN"/>
        </w:rPr>
        <w:t>.2</w:t>
      </w:r>
      <w:r>
        <w:rPr>
          <w:rFonts w:ascii="Arial" w:hAnsi="Arial" w:cs="Arial"/>
        </w:rPr>
        <w:t>-</w:t>
      </w:r>
      <w:r>
        <w:rPr>
          <w:rFonts w:hint="default" w:ascii="Arial" w:hAnsi="Arial" w:eastAsia="SimSun" w:cs="Arial"/>
          <w:lang w:val="en-US" w:eastAsia="zh-CN"/>
        </w:rPr>
        <w:t>2</w:t>
      </w:r>
      <w:r>
        <w:rPr>
          <w:rFonts w:ascii="Arial" w:hAnsi="Arial" w:cs="Arial"/>
        </w:rPr>
        <w:t>: Simulation results for Throughput Loss – Average of all users in the whole network</w:t>
      </w:r>
    </w:p>
    <w:p>
      <w:pPr>
        <w:pStyle w:val="4"/>
      </w:pPr>
      <w:bookmarkStart w:id="488" w:name="_Toc31913"/>
      <w:bookmarkStart w:id="489" w:name="_Toc58"/>
      <w:bookmarkStart w:id="490" w:name="_Toc8381"/>
      <w:bookmarkStart w:id="491" w:name="_Toc14296"/>
      <w:bookmarkStart w:id="492" w:name="_Toc27270"/>
      <w:r>
        <w:t>6.4.2 Non-synchronized Scenarios</w:t>
      </w:r>
      <w:bookmarkEnd w:id="488"/>
      <w:bookmarkEnd w:id="489"/>
      <w:bookmarkEnd w:id="490"/>
      <w:bookmarkEnd w:id="491"/>
      <w:bookmarkEnd w:id="492"/>
    </w:p>
    <w:p>
      <w:pPr>
        <w:pStyle w:val="5"/>
      </w:pPr>
      <w:bookmarkStart w:id="493" w:name="_Toc9806"/>
      <w:bookmarkStart w:id="494" w:name="_Toc27384"/>
      <w:bookmarkStart w:id="495" w:name="_Toc9491"/>
      <w:bookmarkStart w:id="496" w:name="_Toc4262"/>
      <w:bookmarkStart w:id="497" w:name="_Toc24561"/>
      <w:r>
        <w:t>6.4.2.1 Scenario 5: 4GHz ATG DL interfering TN UL</w:t>
      </w:r>
      <w:bookmarkEnd w:id="493"/>
      <w:bookmarkEnd w:id="494"/>
      <w:bookmarkEnd w:id="495"/>
      <w:bookmarkEnd w:id="496"/>
      <w:bookmarkEnd w:id="497"/>
    </w:p>
    <w:p>
      <w:pPr>
        <w:spacing w:after="120"/>
        <w:rPr>
          <w:rFonts w:eastAsia="SimSun"/>
        </w:rPr>
      </w:pPr>
      <w:r>
        <w:rPr>
          <w:rFonts w:eastAsia="SimSun"/>
        </w:rPr>
        <w:t xml:space="preserve">This scenario captures the co-existence results after evaluation from all possible options. Here ATG DL with both AAS subarray and non-subarray model is interfering TN UL deployed in rural macro environment. </w:t>
      </w:r>
    </w:p>
    <w:p>
      <w:pPr>
        <w:pStyle w:val="6"/>
      </w:pPr>
      <w:bookmarkStart w:id="498" w:name="_Toc19444"/>
      <w:bookmarkStart w:id="499" w:name="_Toc4905"/>
      <w:bookmarkStart w:id="500" w:name="_Toc30182"/>
      <w:bookmarkStart w:id="501" w:name="_Toc6761"/>
      <w:bookmarkStart w:id="502" w:name="_Toc1657"/>
      <w:r>
        <w:t>6.4.2.1.1 Using FSPL model</w:t>
      </w:r>
      <w:bookmarkEnd w:id="498"/>
      <w:bookmarkEnd w:id="499"/>
      <w:bookmarkEnd w:id="500"/>
      <w:bookmarkEnd w:id="501"/>
      <w:bookmarkEnd w:id="502"/>
    </w:p>
    <w:p>
      <w:pPr>
        <w:keepNext/>
        <w:keepLines/>
        <w:spacing w:before="240"/>
        <w:jc w:val="center"/>
        <w:rPr>
          <w:rFonts w:ascii="Arial" w:hAnsi="Arial" w:cs="Arial"/>
          <w:b/>
        </w:rPr>
      </w:pPr>
      <w:r>
        <w:rPr>
          <w:rFonts w:ascii="Arial" w:hAnsi="Arial" w:cs="Arial"/>
          <w:b/>
        </w:rPr>
        <w:t>Table 6.4.2.1.1: Simulation results for Scenario 5 – 4GHz ATG DL interfering TN UL using FSPL model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&gt;400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30</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290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39</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42</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r>
    </w:tbl>
    <w:p>
      <w:pPr>
        <w:rPr>
          <w:rFonts w:eastAsia="等线"/>
          <w:lang w:val="sv-SE"/>
        </w:rPr>
      </w:pPr>
    </w:p>
    <w:p>
      <w:pPr>
        <w:pStyle w:val="6"/>
      </w:pPr>
      <w:bookmarkStart w:id="503" w:name="_Toc12858"/>
      <w:bookmarkStart w:id="504" w:name="_Toc15525"/>
      <w:bookmarkStart w:id="505" w:name="_Toc21061"/>
      <w:bookmarkStart w:id="506" w:name="_Toc4473"/>
      <w:bookmarkStart w:id="507" w:name="_Toc21305"/>
      <w:r>
        <w:t>6.4.2.1.2 Using RMa model in TR 38.901 with updating hUT as 30m</w:t>
      </w:r>
      <w:bookmarkEnd w:id="503"/>
      <w:bookmarkEnd w:id="504"/>
      <w:bookmarkEnd w:id="505"/>
      <w:bookmarkEnd w:id="506"/>
      <w:bookmarkEnd w:id="507"/>
    </w:p>
    <w:p>
      <w:pPr>
        <w:keepNext/>
        <w:keepLines/>
        <w:spacing w:before="240"/>
        <w:jc w:val="center"/>
        <w:rPr>
          <w:rFonts w:ascii="Arial" w:hAnsi="Arial" w:cs="Arial"/>
          <w:b/>
        </w:rPr>
      </w:pPr>
      <w:r>
        <w:rPr>
          <w:rFonts w:ascii="Arial" w:hAnsi="Arial" w:cs="Arial"/>
          <w:b/>
        </w:rPr>
        <w:t>Table 6.4.2.1.2: Simulation results for Scenario 5 – 4GHz ATG DL interfering TN UL using RMa model with hUT as 30m</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11</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12</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val="en-IN" w:eastAsia="ko" w:bidi="ar"/>
              </w:rPr>
            </w:pPr>
            <w:r>
              <w:rPr>
                <w:rFonts w:eastAsia="Yu Mincho"/>
                <w:lang w:val="en-IN"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rPr>
          <w:rFonts w:eastAsia="等线"/>
        </w:rPr>
      </w:pPr>
    </w:p>
    <w:p>
      <w:pPr>
        <w:pStyle w:val="5"/>
        <w:rPr>
          <w:lang w:val="sv-SE"/>
        </w:rPr>
      </w:pPr>
      <w:bookmarkStart w:id="508" w:name="_Toc15224"/>
      <w:bookmarkStart w:id="509" w:name="_Toc23403"/>
      <w:bookmarkStart w:id="510" w:name="_Toc30615"/>
      <w:bookmarkStart w:id="511" w:name="_Toc31711"/>
      <w:bookmarkStart w:id="512" w:name="_Toc477"/>
      <w:r>
        <w:rPr>
          <w:lang w:val="sv-SE"/>
        </w:rPr>
        <w:t>6.4.2.2 Scenario 6: 4GHz TN UL interfering TN DL</w:t>
      </w:r>
      <w:bookmarkEnd w:id="508"/>
      <w:bookmarkEnd w:id="509"/>
      <w:bookmarkEnd w:id="510"/>
      <w:bookmarkEnd w:id="511"/>
      <w:bookmarkEnd w:id="512"/>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513" w:name="_Toc7705"/>
      <w:bookmarkStart w:id="514" w:name="_Toc22708"/>
      <w:bookmarkStart w:id="515" w:name="_Toc17638"/>
      <w:bookmarkStart w:id="516" w:name="_Toc18915"/>
      <w:bookmarkStart w:id="517" w:name="_Toc8008"/>
      <w:r>
        <w:rPr>
          <w:lang w:val="sv-SE"/>
        </w:rPr>
        <w:t>6.4.2.3 Scenario 7: 4GHz TN DL interfering ATG UL</w:t>
      </w:r>
      <w:bookmarkEnd w:id="513"/>
      <w:bookmarkEnd w:id="514"/>
      <w:bookmarkEnd w:id="515"/>
      <w:bookmarkEnd w:id="516"/>
      <w:bookmarkEnd w:id="517"/>
    </w:p>
    <w:p>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pPr>
        <w:pStyle w:val="6"/>
      </w:pPr>
      <w:bookmarkStart w:id="518" w:name="_Toc5363"/>
      <w:bookmarkStart w:id="519" w:name="_Toc4569"/>
      <w:bookmarkStart w:id="520" w:name="_Toc26369"/>
      <w:bookmarkStart w:id="521" w:name="_Toc2825"/>
      <w:bookmarkStart w:id="522" w:name="_Toc4978"/>
      <w:r>
        <w:t>6.4.2.3.1 Using FSPL model</w:t>
      </w:r>
      <w:bookmarkEnd w:id="518"/>
      <w:bookmarkEnd w:id="519"/>
      <w:bookmarkEnd w:id="520"/>
      <w:bookmarkEnd w:id="521"/>
      <w:bookmarkEnd w:id="522"/>
    </w:p>
    <w:p>
      <w:pPr>
        <w:keepNext/>
        <w:keepLines/>
        <w:spacing w:before="240"/>
        <w:jc w:val="center"/>
        <w:rPr>
          <w:rFonts w:ascii="Arial" w:hAnsi="Arial" w:cs="Arial"/>
          <w:b/>
        </w:rPr>
      </w:pPr>
      <w:r>
        <w:rPr>
          <w:rFonts w:ascii="Arial" w:hAnsi="Arial" w:cs="Arial"/>
          <w:b/>
        </w:rPr>
        <w:t>Table 6.4.2.3.1: Simulation results for Scenario 7 – 4GHz TN DL interfering ATG UL using FSPL model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5%</w:t>
            </w:r>
            <w:r>
              <w:rPr>
                <w:rFonts w:hint="eastAsia" w:eastAsia="SimSun"/>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&gt;500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75</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&gt;300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45</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203</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val="en-IN" w:eastAsia="ko" w:bidi="ar"/>
              </w:rPr>
            </w:pPr>
            <w:r>
              <w:rPr>
                <w:rFonts w:eastAsia="Yu Mincho"/>
                <w:lang w:eastAsia="ko" w:bidi="ar"/>
              </w:rPr>
              <w:t>&gt;500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290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41</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47</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Huawei</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&gt;1000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rPr>
          <w:rFonts w:eastAsia="等线"/>
        </w:rPr>
      </w:pPr>
    </w:p>
    <w:p>
      <w:pPr>
        <w:pStyle w:val="6"/>
      </w:pPr>
      <w:bookmarkStart w:id="523" w:name="_Toc13922"/>
      <w:bookmarkStart w:id="524" w:name="_Toc12507"/>
      <w:bookmarkStart w:id="525" w:name="_Toc6949"/>
      <w:bookmarkStart w:id="526" w:name="_Toc2322"/>
      <w:bookmarkStart w:id="527" w:name="_Toc14436"/>
      <w:r>
        <w:t>6.4.2.3.2 Using RMa model in TR 38.901 with updating hUT as 30m</w:t>
      </w:r>
      <w:bookmarkEnd w:id="523"/>
      <w:bookmarkEnd w:id="524"/>
      <w:bookmarkEnd w:id="525"/>
      <w:bookmarkEnd w:id="526"/>
      <w:bookmarkEnd w:id="527"/>
    </w:p>
    <w:p>
      <w:pPr>
        <w:keepNext/>
        <w:keepLines/>
        <w:spacing w:before="240"/>
        <w:jc w:val="center"/>
        <w:rPr>
          <w:rFonts w:ascii="Arial" w:hAnsi="Arial" w:cs="Arial"/>
          <w:b/>
        </w:rPr>
      </w:pPr>
      <w:r>
        <w:rPr>
          <w:rFonts w:ascii="Arial" w:hAnsi="Arial" w:cs="Arial"/>
          <w:b/>
        </w:rPr>
        <w:t>Table 6.4.2.3.2: Simulation results for Scenario 7 – 4GHz TN DL interfering ATG UL using RMa model with hUT as 30m</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5%</w:t>
            </w:r>
            <w:r>
              <w:rPr>
                <w:rFonts w:hint="eastAsia" w:eastAsia="SimSun"/>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16</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9</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11</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7</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18</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pStyle w:val="5"/>
        <w:rPr>
          <w:lang w:val="sv-SE"/>
        </w:rPr>
      </w:pPr>
      <w:bookmarkStart w:id="528" w:name="_Toc20777"/>
      <w:bookmarkStart w:id="529" w:name="_Toc15638"/>
      <w:bookmarkStart w:id="530" w:name="_Toc17424"/>
      <w:bookmarkStart w:id="531" w:name="_Toc2162"/>
      <w:bookmarkStart w:id="532" w:name="_Toc29476"/>
      <w:r>
        <w:rPr>
          <w:lang w:val="sv-SE"/>
        </w:rPr>
        <w:t>6.4.2.4 Scenario 8: 4GHz TN UL interfering TN DL</w:t>
      </w:r>
      <w:bookmarkEnd w:id="528"/>
      <w:bookmarkEnd w:id="529"/>
      <w:bookmarkEnd w:id="530"/>
      <w:bookmarkEnd w:id="531"/>
      <w:bookmarkEnd w:id="532"/>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533" w:name="_Toc32681"/>
      <w:bookmarkStart w:id="534" w:name="_Toc3135"/>
      <w:bookmarkStart w:id="535" w:name="_Toc14757"/>
      <w:bookmarkStart w:id="536" w:name="_Toc155"/>
      <w:bookmarkStart w:id="537" w:name="_Toc22321"/>
      <w:r>
        <w:rPr>
          <w:lang w:val="sv-SE"/>
        </w:rPr>
        <w:t>6.4.2.5 Scenario 13: 4GHz TN UL interfering TN DL</w:t>
      </w:r>
      <w:bookmarkEnd w:id="533"/>
      <w:bookmarkEnd w:id="534"/>
      <w:bookmarkEnd w:id="535"/>
      <w:bookmarkEnd w:id="536"/>
      <w:bookmarkEnd w:id="537"/>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538" w:name="_Toc20801"/>
      <w:bookmarkStart w:id="539" w:name="_Toc32688"/>
      <w:bookmarkStart w:id="540" w:name="_Toc13887"/>
      <w:bookmarkStart w:id="541" w:name="_Toc29426"/>
      <w:bookmarkStart w:id="542" w:name="_Toc13009"/>
      <w:r>
        <w:rPr>
          <w:lang w:val="sv-SE"/>
        </w:rPr>
        <w:t>6.4.2.6 Scenario 14: 2GHz TN DL interfering ATG UL</w:t>
      </w:r>
      <w:bookmarkEnd w:id="538"/>
      <w:bookmarkEnd w:id="539"/>
      <w:bookmarkEnd w:id="540"/>
      <w:bookmarkEnd w:id="541"/>
      <w:bookmarkEnd w:id="542"/>
    </w:p>
    <w:p>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pPr>
        <w:pStyle w:val="6"/>
      </w:pPr>
      <w:bookmarkStart w:id="543" w:name="_Toc29685"/>
      <w:bookmarkStart w:id="544" w:name="_Toc1347"/>
      <w:bookmarkStart w:id="545" w:name="_Toc9254"/>
      <w:bookmarkStart w:id="546" w:name="_Toc31733"/>
      <w:bookmarkStart w:id="547" w:name="_Toc5030"/>
      <w:r>
        <w:t>6.4.2.6.1 Using FSPL model</w:t>
      </w:r>
      <w:bookmarkEnd w:id="543"/>
      <w:bookmarkEnd w:id="544"/>
      <w:bookmarkEnd w:id="545"/>
      <w:bookmarkEnd w:id="546"/>
      <w:bookmarkEnd w:id="547"/>
    </w:p>
    <w:p>
      <w:pPr>
        <w:keepNext/>
        <w:keepLines/>
        <w:spacing w:before="240"/>
        <w:jc w:val="center"/>
        <w:rPr>
          <w:rFonts w:ascii="Arial" w:hAnsi="Arial" w:cs="Arial"/>
          <w:b/>
        </w:rPr>
      </w:pPr>
      <w:r>
        <w:rPr>
          <w:rFonts w:ascii="Arial" w:hAnsi="Arial" w:cs="Arial"/>
          <w:b/>
        </w:rPr>
        <w:t>Table 6.4.2.6-1: Simulation results for Scenario 14 – 2GHz TN DL interfering ATG UL using FSPL model</w:t>
      </w:r>
    </w:p>
    <w:tbl>
      <w:tblPr>
        <w:tblStyle w:val="4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03"/>
        <w:gridCol w:w="80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5%</w:t>
            </w:r>
            <w:r>
              <w:rPr>
                <w:rFonts w:hint="eastAsia" w:eastAsia="SimSun"/>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&gt;500</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&gt;100</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500</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75</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Huawei</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&gt;1000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220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bl>
    <w:p>
      <w:pPr>
        <w:rPr>
          <w:lang w:val="en-GB" w:eastAsia="ja-JP"/>
        </w:rPr>
      </w:pPr>
    </w:p>
    <w:p>
      <w:pPr>
        <w:pStyle w:val="6"/>
      </w:pPr>
      <w:bookmarkStart w:id="548" w:name="_Toc19145"/>
      <w:bookmarkStart w:id="549" w:name="_Toc30984"/>
      <w:bookmarkStart w:id="550" w:name="_Toc8879"/>
      <w:bookmarkStart w:id="551" w:name="_Toc23986"/>
      <w:bookmarkStart w:id="552" w:name="_Toc20654"/>
      <w:r>
        <w:t>6.4.2.6.2 Using RMa model in TR 38.901 with updating hUT as 30m</w:t>
      </w:r>
      <w:bookmarkEnd w:id="548"/>
      <w:bookmarkEnd w:id="549"/>
      <w:bookmarkEnd w:id="550"/>
      <w:bookmarkEnd w:id="551"/>
      <w:bookmarkEnd w:id="552"/>
    </w:p>
    <w:p>
      <w:pPr>
        <w:keepNext/>
        <w:keepLines/>
        <w:spacing w:before="240"/>
        <w:jc w:val="center"/>
        <w:rPr>
          <w:rFonts w:ascii="Arial" w:hAnsi="Arial" w:cs="Arial"/>
          <w:b/>
        </w:rPr>
      </w:pPr>
      <w:r>
        <w:rPr>
          <w:rFonts w:ascii="Arial" w:hAnsi="Arial" w:cs="Arial"/>
          <w:b/>
        </w:rPr>
        <w:t>Table 6.4.2.6-2: Simulation results for Scenario 14 – 2GHz TN DL interfering ATG UL using RMa model with hUT as 30m</w:t>
      </w:r>
    </w:p>
    <w:tbl>
      <w:tblPr>
        <w:tblStyle w:val="4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03"/>
        <w:gridCol w:w="80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5%</w:t>
            </w:r>
            <w:r>
              <w:rPr>
                <w:rFonts w:hint="eastAsia" w:eastAsia="SimSun"/>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18</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12</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SimSun"/>
                <w:lang w:eastAsia="zh-CN"/>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13</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0</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26</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22</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18</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SimSun"/>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pStyle w:val="3"/>
        <w:keepNext/>
        <w:keepLines/>
        <w:spacing w:before="180"/>
        <w:ind w:left="1134"/>
        <w:outlineLvl w:val="1"/>
        <w:rPr>
          <w:lang w:eastAsia="ja-JP"/>
        </w:rPr>
      </w:pPr>
      <w:bookmarkStart w:id="553" w:name="_Toc29355"/>
      <w:bookmarkStart w:id="554" w:name="_Toc28747"/>
      <w:bookmarkStart w:id="555" w:name="_Toc21203"/>
      <w:bookmarkStart w:id="556" w:name="_Toc16300"/>
      <w:r>
        <w:rPr>
          <w:lang w:eastAsia="ja-JP"/>
        </w:rPr>
        <w:t>6.5 Summary of co-existence study</w:t>
      </w:r>
      <w:bookmarkEnd w:id="553"/>
      <w:bookmarkEnd w:id="554"/>
      <w:bookmarkEnd w:id="555"/>
      <w:bookmarkEnd w:id="556"/>
    </w:p>
    <w:p>
      <w:pPr>
        <w:pStyle w:val="4"/>
      </w:pPr>
      <w:bookmarkStart w:id="557" w:name="_Toc24273"/>
      <w:bookmarkStart w:id="558" w:name="_Toc4730"/>
      <w:bookmarkStart w:id="559" w:name="_Toc18338"/>
      <w:bookmarkStart w:id="560" w:name="_Toc11866"/>
      <w:bookmarkStart w:id="561" w:name="_Toc9030"/>
      <w:r>
        <w:t>6.5.1 Synchronized Scenarios</w:t>
      </w:r>
      <w:bookmarkEnd w:id="557"/>
      <w:bookmarkEnd w:id="558"/>
      <w:bookmarkEnd w:id="559"/>
      <w:bookmarkEnd w:id="560"/>
      <w:bookmarkEnd w:id="561"/>
    </w:p>
    <w:p>
      <w:r>
        <w:t xml:space="preserve">This sub-clause captures the summary of the co-existence studies for the synchronized scenarios. </w:t>
      </w:r>
    </w:p>
    <w:p>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pPr>
        <w:pStyle w:val="76"/>
      </w:pPr>
      <w:r>
        <w:t>Table 6.5.1-1: ACLR and ACS of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28" w:type="dxa"/>
            <w:gridSpan w:val="2"/>
            <w:shd w:val="clear" w:color="auto" w:fill="auto"/>
          </w:tcPr>
          <w:p>
            <w:pPr>
              <w:pStyle w:val="67"/>
            </w:pPr>
            <w:r>
              <w:t>TN</w:t>
            </w:r>
          </w:p>
        </w:tc>
        <w:tc>
          <w:tcPr>
            <w:tcW w:w="2610" w:type="dxa"/>
            <w:shd w:val="clear" w:color="auto" w:fill="auto"/>
          </w:tcPr>
          <w:p>
            <w:pPr>
              <w:pStyle w:val="67"/>
            </w:pPr>
            <w: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pStyle w:val="68"/>
            </w:pPr>
            <w:r>
              <w:t>BS</w:t>
            </w:r>
          </w:p>
        </w:tc>
        <w:tc>
          <w:tcPr>
            <w:tcW w:w="1350" w:type="dxa"/>
            <w:shd w:val="clear" w:color="auto" w:fill="auto"/>
            <w:vAlign w:val="center"/>
          </w:tcPr>
          <w:p>
            <w:pPr>
              <w:pStyle w:val="68"/>
            </w:pPr>
            <w:r>
              <w:t>ACLR</w:t>
            </w:r>
          </w:p>
        </w:tc>
        <w:tc>
          <w:tcPr>
            <w:tcW w:w="2610" w:type="dxa"/>
            <w:shd w:val="clear" w:color="auto" w:fill="auto"/>
          </w:tcPr>
          <w:p>
            <w:pPr>
              <w:pStyle w:val="68"/>
            </w:pPr>
            <w: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pStyle w:val="68"/>
            </w:pPr>
          </w:p>
        </w:tc>
        <w:tc>
          <w:tcPr>
            <w:tcW w:w="1350" w:type="dxa"/>
            <w:shd w:val="clear" w:color="auto" w:fill="auto"/>
            <w:vAlign w:val="center"/>
          </w:tcPr>
          <w:p>
            <w:pPr>
              <w:pStyle w:val="68"/>
            </w:pPr>
            <w:r>
              <w:t>ACS</w:t>
            </w:r>
          </w:p>
        </w:tc>
        <w:tc>
          <w:tcPr>
            <w:tcW w:w="2610" w:type="dxa"/>
            <w:shd w:val="clear" w:color="auto" w:fill="auto"/>
          </w:tcPr>
          <w:p>
            <w:pPr>
              <w:pStyle w:val="68"/>
            </w:pPr>
            <w: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pStyle w:val="68"/>
            </w:pPr>
            <w:r>
              <w:t>UE</w:t>
            </w:r>
          </w:p>
        </w:tc>
        <w:tc>
          <w:tcPr>
            <w:tcW w:w="1350" w:type="dxa"/>
            <w:shd w:val="clear" w:color="auto" w:fill="auto"/>
            <w:vAlign w:val="center"/>
          </w:tcPr>
          <w:p>
            <w:pPr>
              <w:pStyle w:val="68"/>
            </w:pPr>
            <w:r>
              <w:t>ACLR</w:t>
            </w:r>
          </w:p>
        </w:tc>
        <w:tc>
          <w:tcPr>
            <w:tcW w:w="2610" w:type="dxa"/>
            <w:shd w:val="clear" w:color="auto" w:fill="auto"/>
          </w:tcPr>
          <w:p>
            <w:pPr>
              <w:pStyle w:val="68"/>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pStyle w:val="68"/>
            </w:pPr>
          </w:p>
        </w:tc>
        <w:tc>
          <w:tcPr>
            <w:tcW w:w="1350" w:type="dxa"/>
            <w:shd w:val="clear" w:color="auto" w:fill="auto"/>
            <w:vAlign w:val="center"/>
          </w:tcPr>
          <w:p>
            <w:pPr>
              <w:pStyle w:val="68"/>
            </w:pPr>
            <w:r>
              <w:t>ACS</w:t>
            </w:r>
          </w:p>
        </w:tc>
        <w:tc>
          <w:tcPr>
            <w:tcW w:w="2610" w:type="dxa"/>
            <w:shd w:val="clear" w:color="auto" w:fill="auto"/>
          </w:tcPr>
          <w:p>
            <w:pPr>
              <w:pStyle w:val="68"/>
            </w:pPr>
            <w:r>
              <w:t>33 dB</w:t>
            </w:r>
          </w:p>
        </w:tc>
      </w:tr>
    </w:tbl>
    <w:p>
      <w:pPr>
        <w:keepNext/>
        <w:keepLines/>
        <w:spacing w:before="240"/>
        <w:jc w:val="center"/>
        <w:rPr>
          <w:rFonts w:ascii="Arial" w:hAnsi="Arial" w:eastAsia="等线" w:cs="Arial"/>
          <w:b/>
        </w:rPr>
      </w:pPr>
      <w:r>
        <w:rPr>
          <w:rFonts w:ascii="Arial" w:hAnsi="Arial" w:eastAsia="等线" w:cs="Arial"/>
          <w:b/>
        </w:rPr>
        <w:t>Table 6.5.1-2: Co-existence results suggested ACLR and ACS of ATG system</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28" w:type="dxa"/>
            <w:gridSpan w:val="2"/>
            <w:shd w:val="clear" w:color="auto" w:fill="auto"/>
          </w:tcPr>
          <w:p>
            <w:pPr>
              <w:keepNext/>
              <w:keepLines/>
              <w:spacing w:after="0"/>
              <w:jc w:val="center"/>
              <w:rPr>
                <w:b/>
                <w:sz w:val="18"/>
              </w:rPr>
            </w:pPr>
            <w:r>
              <w:rPr>
                <w:b/>
                <w:sz w:val="18"/>
              </w:rPr>
              <w:t>ATG</w:t>
            </w:r>
          </w:p>
        </w:tc>
        <w:tc>
          <w:tcPr>
            <w:tcW w:w="2610" w:type="dxa"/>
            <w:shd w:val="clear" w:color="auto" w:fill="auto"/>
          </w:tcPr>
          <w:p>
            <w:pPr>
              <w:keepNext/>
              <w:keepLines/>
              <w:spacing w:after="0"/>
              <w:jc w:val="center"/>
              <w:rPr>
                <w:b/>
                <w:sz w:val="18"/>
              </w:rPr>
            </w:pPr>
            <w:r>
              <w:rPr>
                <w:b/>
                <w:sz w:val="18"/>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sz w:val="18"/>
              </w:rPr>
            </w:pPr>
            <w:r>
              <w:rPr>
                <w:sz w:val="18"/>
              </w:rPr>
              <w:t>BS</w:t>
            </w:r>
          </w:p>
        </w:tc>
        <w:tc>
          <w:tcPr>
            <w:tcW w:w="1350" w:type="dxa"/>
            <w:shd w:val="clear" w:color="auto" w:fill="auto"/>
            <w:vAlign w:val="center"/>
          </w:tcPr>
          <w:p>
            <w:pPr>
              <w:keepNext/>
              <w:keepLines/>
              <w:spacing w:after="0"/>
              <w:jc w:val="center"/>
              <w:rPr>
                <w:sz w:val="18"/>
              </w:rPr>
            </w:pPr>
            <w:r>
              <w:rPr>
                <w:sz w:val="18"/>
              </w:rPr>
              <w:t>ACLR</w:t>
            </w:r>
          </w:p>
        </w:tc>
        <w:tc>
          <w:tcPr>
            <w:tcW w:w="2610" w:type="dxa"/>
            <w:shd w:val="clear" w:color="auto" w:fill="auto"/>
          </w:tcPr>
          <w:p>
            <w:pPr>
              <w:keepNext/>
              <w:keepLines/>
              <w:spacing w:after="0"/>
              <w:jc w:val="center"/>
              <w:rPr>
                <w:sz w:val="18"/>
              </w:rPr>
            </w:pPr>
            <w: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sz w:val="18"/>
              </w:rPr>
            </w:pPr>
          </w:p>
        </w:tc>
        <w:tc>
          <w:tcPr>
            <w:tcW w:w="1350" w:type="dxa"/>
            <w:shd w:val="clear" w:color="auto" w:fill="auto"/>
            <w:vAlign w:val="center"/>
          </w:tcPr>
          <w:p>
            <w:pPr>
              <w:keepNext/>
              <w:keepLines/>
              <w:spacing w:after="0"/>
              <w:jc w:val="center"/>
              <w:rPr>
                <w:sz w:val="18"/>
              </w:rPr>
            </w:pPr>
            <w:r>
              <w:rPr>
                <w:sz w:val="18"/>
              </w:rPr>
              <w:t>ACS</w:t>
            </w:r>
          </w:p>
        </w:tc>
        <w:tc>
          <w:tcPr>
            <w:tcW w:w="2610" w:type="dxa"/>
            <w:shd w:val="clear" w:color="auto" w:fill="auto"/>
          </w:tcPr>
          <w:p>
            <w:pPr>
              <w:keepNext/>
              <w:keepLines/>
              <w:spacing w:after="0"/>
              <w:jc w:val="center"/>
              <w:rPr>
                <w:sz w:val="18"/>
              </w:rPr>
            </w:pPr>
            <w: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sz w:val="18"/>
              </w:rPr>
            </w:pPr>
            <w:r>
              <w:rPr>
                <w:sz w:val="18"/>
              </w:rPr>
              <w:t>UE</w:t>
            </w:r>
          </w:p>
        </w:tc>
        <w:tc>
          <w:tcPr>
            <w:tcW w:w="1350" w:type="dxa"/>
            <w:shd w:val="clear" w:color="auto" w:fill="auto"/>
            <w:vAlign w:val="center"/>
          </w:tcPr>
          <w:p>
            <w:pPr>
              <w:keepNext/>
              <w:keepLines/>
              <w:spacing w:after="0"/>
              <w:jc w:val="center"/>
              <w:rPr>
                <w:sz w:val="18"/>
              </w:rPr>
            </w:pPr>
            <w:r>
              <w:rPr>
                <w:sz w:val="18"/>
              </w:rPr>
              <w:t>ACLR</w:t>
            </w:r>
          </w:p>
        </w:tc>
        <w:tc>
          <w:tcPr>
            <w:tcW w:w="2610" w:type="dxa"/>
            <w:shd w:val="clear" w:color="auto" w:fill="auto"/>
          </w:tcPr>
          <w:p>
            <w:pPr>
              <w:keepNext/>
              <w:keepLines/>
              <w:spacing w:after="0"/>
              <w:jc w:val="center"/>
              <w:rPr>
                <w:sz w:val="18"/>
              </w:rPr>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sz w:val="18"/>
              </w:rPr>
            </w:pPr>
          </w:p>
        </w:tc>
        <w:tc>
          <w:tcPr>
            <w:tcW w:w="1350" w:type="dxa"/>
            <w:shd w:val="clear" w:color="auto" w:fill="auto"/>
            <w:vAlign w:val="center"/>
          </w:tcPr>
          <w:p>
            <w:pPr>
              <w:keepNext/>
              <w:keepLines/>
              <w:spacing w:after="0"/>
              <w:jc w:val="center"/>
              <w:rPr>
                <w:sz w:val="18"/>
              </w:rPr>
            </w:pPr>
            <w:r>
              <w:rPr>
                <w:sz w:val="18"/>
              </w:rPr>
              <w:t>ACS</w:t>
            </w:r>
          </w:p>
        </w:tc>
        <w:tc>
          <w:tcPr>
            <w:tcW w:w="2610" w:type="dxa"/>
            <w:shd w:val="clear" w:color="auto" w:fill="auto"/>
          </w:tcPr>
          <w:p>
            <w:pPr>
              <w:keepNext/>
              <w:keepLines/>
              <w:spacing w:after="0"/>
              <w:jc w:val="center"/>
              <w:rPr>
                <w:sz w:val="18"/>
              </w:rPr>
            </w:pPr>
            <w:r>
              <w:t>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5238" w:type="dxa"/>
            <w:gridSpan w:val="3"/>
            <w:shd w:val="clear" w:color="auto" w:fill="auto"/>
            <w:vAlign w:val="center"/>
          </w:tcPr>
          <w:p>
            <w:pPr>
              <w:keepNext/>
              <w:keepLines/>
              <w:spacing w:after="0"/>
              <w:jc w:val="both"/>
            </w:pPr>
            <w:r>
              <w:t>NOTE 1: Higher interference maybe caused by aircraft at lower altitudes in the applicable range.</w:t>
            </w:r>
          </w:p>
        </w:tc>
      </w:tr>
    </w:tbl>
    <w:p>
      <w:pPr>
        <w:pStyle w:val="4"/>
        <w:keepNext/>
        <w:keepLines/>
        <w:spacing w:before="40" w:after="0" w:line="259" w:lineRule="auto"/>
        <w:outlineLvl w:val="2"/>
        <w:rPr>
          <w:lang w:val="en-US" w:eastAsia="en-US"/>
        </w:rPr>
      </w:pPr>
      <w:bookmarkStart w:id="562" w:name="_Toc20108"/>
      <w:bookmarkStart w:id="563" w:name="_Toc25995"/>
      <w:bookmarkStart w:id="564" w:name="_Toc1482"/>
      <w:bookmarkStart w:id="565" w:name="_Toc12659"/>
      <w:r>
        <w:rPr>
          <w:lang w:val="en-US" w:eastAsia="en-US"/>
        </w:rPr>
        <w:t>6.5.2 Non-Synchronized Scenarios</w:t>
      </w:r>
      <w:bookmarkEnd w:id="562"/>
      <w:bookmarkEnd w:id="563"/>
      <w:bookmarkEnd w:id="564"/>
      <w:bookmarkEnd w:id="565"/>
    </w:p>
    <w:p>
      <w:pPr>
        <w:overflowPunct/>
        <w:autoSpaceDE/>
        <w:autoSpaceDN/>
        <w:adjustRightInd/>
        <w:spacing w:after="160" w:line="259" w:lineRule="auto"/>
        <w:textAlignment w:val="auto"/>
        <w:rPr>
          <w:rFonts w:hint="default" w:ascii="Times New Roman" w:hAnsi="Times New Roman" w:eastAsia="Calibri" w:cs="Times New Roman"/>
          <w:szCs w:val="22"/>
          <w:lang w:val="en-US" w:eastAsia="en-US"/>
        </w:rPr>
      </w:pPr>
      <w:r>
        <w:rPr>
          <w:rFonts w:hint="default" w:ascii="Times New Roman" w:hAnsi="Times New Roman" w:eastAsia="Calibri" w:cs="Times New Roman"/>
          <w:szCs w:val="22"/>
          <w:lang w:val="en-US" w:eastAsia="en-US"/>
        </w:rPr>
        <w:t>This sub-clause captures the summary of the co-existence studies for the non-synchronized scenarios.</w:t>
      </w:r>
    </w:p>
    <w:p>
      <w:pPr>
        <w:overflowPunct/>
        <w:autoSpaceDE/>
        <w:autoSpaceDN/>
        <w:adjustRightInd/>
        <w:spacing w:after="160" w:line="259" w:lineRule="auto"/>
        <w:textAlignment w:val="auto"/>
        <w:rPr>
          <w:rFonts w:hint="default" w:ascii="Times New Roman" w:hAnsi="Times New Roman" w:eastAsia="Calibri" w:cs="Times New Roman"/>
          <w:sz w:val="20"/>
          <w:szCs w:val="20"/>
          <w:lang w:val="en-US" w:eastAsia="en-US"/>
        </w:rPr>
      </w:pPr>
      <w:r>
        <w:rPr>
          <w:rFonts w:hint="default" w:ascii="Times New Roman" w:hAnsi="Times New Roman" w:eastAsia="Calibri" w:cs="Times New Roman"/>
          <w:sz w:val="20"/>
          <w:szCs w:val="22"/>
          <w:lang w:val="en-US" w:eastAsia="en-US"/>
        </w:rPr>
        <w:t xml:space="preserve">Two </w:t>
      </w:r>
      <w:r>
        <w:rPr>
          <w:rFonts w:hint="default" w:ascii="Times New Roman" w:hAnsi="Times New Roman" w:eastAsia="Calibri" w:cs="Times New Roman"/>
          <w:sz w:val="20"/>
          <w:szCs w:val="20"/>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pPr>
        <w:numPr>
          <w:ilvl w:val="0"/>
          <w:numId w:val="8"/>
        </w:numPr>
        <w:spacing w:after="0" w:line="259" w:lineRule="auto"/>
        <w:ind w:left="720" w:hanging="360"/>
        <w:rPr>
          <w:rFonts w:hint="default" w:ascii="Times New Roman" w:hAnsi="Times New Roman" w:eastAsia="Calibri" w:cs="Times New Roman"/>
          <w:b w:val="0"/>
          <w:bCs w:val="0"/>
          <w:sz w:val="20"/>
          <w:szCs w:val="20"/>
          <w:lang w:val="zh-CN" w:eastAsia="en-US" w:bidi="ar-SA"/>
        </w:rPr>
      </w:pPr>
      <w:r>
        <w:rPr>
          <w:rFonts w:hint="default" w:ascii="Times New Roman" w:hAnsi="Times New Roman" w:eastAsia="Calibri" w:cs="Times New Roman"/>
          <w:b w:val="0"/>
          <w:bCs w:val="0"/>
          <w:sz w:val="20"/>
          <w:szCs w:val="20"/>
          <w:lang w:val="en-IN" w:eastAsia="en-US" w:bidi="ar-SA"/>
        </w:rPr>
        <w:t>Free Space Path Loss model</w:t>
      </w: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sz w:val="20"/>
          <w:szCs w:val="20"/>
          <w:lang w:val="en-IN" w:eastAsia="en-US" w:bidi="ar-SA"/>
        </w:rPr>
        <w:t xml:space="preserve">Interference may arise through a range of </w:t>
      </w:r>
      <w:r>
        <w:rPr>
          <w:rFonts w:hint="default" w:ascii="Times New Roman" w:hAnsi="Times New Roman" w:eastAsia="SimSun" w:cs="Times New Roman"/>
          <w:sz w:val="20"/>
          <w:szCs w:val="20"/>
          <w:lang w:val="en-US" w:eastAsia="zh-CN" w:bidi="ar-SA"/>
        </w:rPr>
        <w:t>propagation mechanisms whose individual dominance depends on climate, radio frequency, time percentage of interest, distance, and path topography. Free space modeling is one of such mechanism.</w:t>
      </w:r>
    </w:p>
    <w:p>
      <w:pPr>
        <w:numPr>
          <w:ilvl w:val="0"/>
          <w:numId w:val="8"/>
        </w:numPr>
        <w:spacing w:after="0" w:line="259" w:lineRule="auto"/>
        <w:ind w:left="720" w:hanging="360"/>
        <w:jc w:val="both"/>
        <w:rPr>
          <w:rFonts w:hint="default" w:ascii="Times New Roman" w:hAnsi="Times New Roman" w:eastAsia="Calibri" w:cs="Times New Roman"/>
          <w:b w:val="0"/>
          <w:bCs w:val="0"/>
          <w:sz w:val="20"/>
          <w:szCs w:val="20"/>
          <w:lang w:val="zh-CN" w:eastAsia="en-US" w:bidi="ar-SA"/>
        </w:rPr>
      </w:pPr>
      <w:r>
        <w:rPr>
          <w:rFonts w:hint="default" w:ascii="Times New Roman" w:hAnsi="Times New Roman" w:eastAsia="SimSun" w:cs="Times New Roman"/>
          <w:b w:val="0"/>
          <w:bCs w:val="0"/>
          <w:sz w:val="20"/>
          <w:szCs w:val="20"/>
          <w:lang w:val="en-US" w:eastAsia="zh-CN" w:bidi="ar-SA"/>
        </w:rPr>
        <w:t>RMa model in TR 38.901 with updating hUT as 30m</w:t>
      </w: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MS Mincho" w:cs="Times New Roman"/>
          <w:sz w:val="20"/>
          <w:szCs w:val="20"/>
          <w:lang w:val="en-GB" w:eastAsia="en-US" w:bidi="ar-SA"/>
        </w:rPr>
        <w:t>The applicable range of User Terminal antenna height- hUT in the proposed RMa Pathloss model is -</w:t>
      </w:r>
    </w:p>
    <w:p>
      <w:pPr>
        <w:spacing w:after="0" w:line="259" w:lineRule="auto"/>
        <w:ind w:left="1440"/>
        <w:jc w:val="center"/>
        <w:rPr>
          <w:rFonts w:hint="default" w:ascii="Times New Roman" w:hAnsi="Times New Roman" w:eastAsia="MS Mincho" w:cs="Times New Roman"/>
          <w:sz w:val="20"/>
          <w:szCs w:val="20"/>
          <w:lang w:val="en-GB" w:eastAsia="en-US" w:bidi="ar-SA"/>
        </w:rPr>
      </w:pPr>
      <w:r>
        <w:rPr>
          <w:rFonts w:hint="default" w:ascii="Times New Roman" w:hAnsi="Times New Roman" w:eastAsia="Calibri" w:cs="Times New Roman"/>
          <w:position w:val="-12"/>
          <w:sz w:val="20"/>
          <w:szCs w:val="20"/>
          <w:lang w:val="zh-CN" w:eastAsia="en-US" w:bidi="ar-SA"/>
        </w:rPr>
        <w:object>
          <v:shape id="_x0000_i1092" o:spt="75" type="#_x0000_t75" style="height:20.75pt;width:79.5pt;" o:ole="t" filled="f" o:preferrelative="t" stroked="f" coordsize="21600,21600">
            <v:path/>
            <v:fill on="f" focussize="0,0"/>
            <v:stroke on="f" joinstyle="miter"/>
            <v:imagedata r:id="rId212" o:title=""/>
            <o:lock v:ext="edit" aspectratio="t"/>
            <w10:wrap type="none"/>
            <w10:anchorlock/>
          </v:shape>
          <o:OLEObject Type="Embed" ProgID="Equation.3" ShapeID="_x0000_i1092" DrawAspect="Content" ObjectID="_1468075789" r:id="rId211">
            <o:LockedField>false</o:LockedField>
          </o:OLEObject>
        </w:object>
      </w:r>
    </w:p>
    <w:p>
      <w:pPr>
        <w:spacing w:after="0" w:line="259" w:lineRule="auto"/>
        <w:ind w:left="1440"/>
        <w:jc w:val="both"/>
        <w:rPr>
          <w:rFonts w:hint="default" w:ascii="Times New Roman" w:hAnsi="Times New Roman" w:eastAsia="MS Mincho" w:cs="Times New Roman"/>
          <w:sz w:val="20"/>
          <w:szCs w:val="20"/>
          <w:lang w:val="en-GB" w:eastAsia="en-US" w:bidi="ar-SA"/>
        </w:rPr>
      </w:pPr>
      <w:r>
        <w:rPr>
          <w:rFonts w:hint="default" w:ascii="Times New Roman" w:hAnsi="Times New Roman" w:eastAsia="MS Mincho" w:cs="Times New Roman"/>
          <w:sz w:val="20"/>
          <w:szCs w:val="20"/>
          <w:lang w:val="en-GB" w:eastAsia="en-US" w:bidi="ar-SA"/>
        </w:rPr>
        <w:t>, whereas in the simulations, hUT has been considered as 30m which is above the limit.</w:t>
      </w:r>
    </w:p>
    <w:p>
      <w:pPr>
        <w:spacing w:after="0" w:line="259" w:lineRule="auto"/>
        <w:ind w:left="1440"/>
        <w:jc w:val="both"/>
        <w:rPr>
          <w:rFonts w:hint="default" w:ascii="Times New Roman" w:hAnsi="Times New Roman" w:eastAsia="Calibri" w:cs="Times New Roman"/>
          <w:sz w:val="20"/>
          <w:szCs w:val="20"/>
          <w:lang w:val="zh-CN" w:eastAsia="en-US" w:bidi="ar-SA"/>
        </w:rPr>
      </w:pP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sz w:val="20"/>
          <w:szCs w:val="20"/>
          <w:lang w:val="en-US" w:eastAsia="zh-CN" w:bidi="ar-SA"/>
        </w:rPr>
        <w:t>T</w:t>
      </w:r>
      <w:r>
        <w:rPr>
          <w:rFonts w:hint="default" w:ascii="Times New Roman" w:hAnsi="Times New Roman" w:eastAsia="MS Mincho" w:cs="Times New Roman"/>
          <w:sz w:val="20"/>
          <w:szCs w:val="20"/>
          <w:lang w:val="en-GB" w:eastAsia="en-US" w:bidi="ar-SA"/>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pPr>
        <w:overflowPunct/>
        <w:autoSpaceDE/>
        <w:autoSpaceDN/>
        <w:adjustRightInd/>
        <w:spacing w:after="160" w:line="259" w:lineRule="auto"/>
        <w:jc w:val="both"/>
        <w:textAlignment w:val="auto"/>
        <w:rPr>
          <w:rFonts w:hint="default" w:ascii="Times New Roman" w:hAnsi="Times New Roman" w:eastAsia="Calibri" w:cs="Times New Roman"/>
          <w:sz w:val="20"/>
          <w:szCs w:val="20"/>
          <w:lang w:val="en-US" w:eastAsia="en-US"/>
        </w:rPr>
      </w:pPr>
      <w:r>
        <w:rPr>
          <w:rFonts w:hint="default" w:ascii="Times New Roman" w:hAnsi="Times New Roman" w:eastAsia="Calibri" w:cs="Times New Roman"/>
          <w:sz w:val="20"/>
          <w:szCs w:val="20"/>
          <w:lang w:val="en-US" w:eastAsia="en-US"/>
        </w:rPr>
        <w:t>Considering the simulation results in Sub-clause 6.4.2 and the highlig</w:t>
      </w:r>
      <w:r>
        <w:rPr>
          <w:rFonts w:hint="default" w:ascii="Times New Roman" w:hAnsi="Times New Roman" w:eastAsia="Calibri" w:cs="Times New Roman"/>
          <w:b w:val="0"/>
          <w:bCs w:val="0"/>
          <w:sz w:val="20"/>
          <w:szCs w:val="20"/>
          <w:lang w:val="en-US" w:eastAsia="en-US"/>
        </w:rPr>
        <w:t xml:space="preserve">hted above limitations, following observations </w:t>
      </w:r>
      <w:r>
        <w:rPr>
          <w:rFonts w:hint="default" w:ascii="Times New Roman" w:hAnsi="Times New Roman" w:eastAsia="Calibri" w:cs="Times New Roman"/>
          <w:sz w:val="20"/>
          <w:szCs w:val="20"/>
          <w:lang w:val="en-US" w:eastAsia="en-US"/>
        </w:rPr>
        <w:t xml:space="preserve">are made based on the propagation models </w:t>
      </w:r>
    </w:p>
    <w:p>
      <w:pPr>
        <w:numPr>
          <w:ilvl w:val="0"/>
          <w:numId w:val="8"/>
        </w:numPr>
        <w:spacing w:after="0" w:line="259" w:lineRule="auto"/>
        <w:ind w:left="72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b w:val="0"/>
          <w:bCs w:val="0"/>
          <w:sz w:val="20"/>
          <w:szCs w:val="20"/>
          <w:lang w:val="en-IN" w:eastAsia="en-US" w:bidi="ar-SA"/>
        </w:rPr>
        <w:t xml:space="preserve">Optimistic isolation distances in the multiples of tens of kilometres, based on RMa pathloss model in TR 38.901 with hUT as 30m, </w:t>
      </w:r>
      <w:r>
        <w:rPr>
          <w:rFonts w:hint="default" w:ascii="Times New Roman" w:hAnsi="Times New Roman" w:eastAsia="Calibri" w:cs="Times New Roman"/>
          <w:sz w:val="20"/>
          <w:szCs w:val="20"/>
          <w:lang w:val="en-IN" w:eastAsia="en-US" w:bidi="ar-SA"/>
        </w:rPr>
        <w:t>when the angle between ATG BS boresight and nearest TN boresight in azimuth are 0°, 30° and 60°.</w:t>
      </w:r>
    </w:p>
    <w:p>
      <w:pPr>
        <w:numPr>
          <w:ilvl w:val="0"/>
          <w:numId w:val="8"/>
        </w:numPr>
        <w:spacing w:after="0" w:line="259" w:lineRule="auto"/>
        <w:ind w:left="72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b w:val="0"/>
          <w:bCs w:val="0"/>
          <w:sz w:val="20"/>
          <w:szCs w:val="20"/>
          <w:lang w:val="en-IN" w:eastAsia="en-US" w:bidi="ar-SA"/>
        </w:rPr>
        <w:t>Pessimistic isolation distances in the multiples of tens to multiples of hundreds of kilometres, based on Free space Pathloss model</w:t>
      </w:r>
      <w:r>
        <w:rPr>
          <w:rFonts w:hint="default" w:ascii="Times New Roman" w:hAnsi="Times New Roman" w:eastAsia="Calibri" w:cs="Times New Roman"/>
          <w:sz w:val="20"/>
          <w:szCs w:val="20"/>
          <w:lang w:val="en-IN" w:eastAsia="en-US" w:bidi="ar-SA"/>
        </w:rPr>
        <w:t>, when the angle between ATG BS boresight and nearest TN boresight in azimuth are 0°, 30° and 60°.</w:t>
      </w:r>
    </w:p>
    <w:p>
      <w:pPr>
        <w:pStyle w:val="100"/>
        <w:rPr>
          <w:color w:val="auto"/>
          <w:lang w:eastAsia="zh-CN"/>
        </w:rPr>
      </w:pPr>
    </w:p>
    <w:p>
      <w:pPr>
        <w:pStyle w:val="2"/>
        <w:rPr>
          <w:lang w:val="sv-SE" w:eastAsia="zh-CN"/>
        </w:rPr>
      </w:pPr>
      <w:bookmarkStart w:id="566" w:name="_Toc27881"/>
      <w:bookmarkStart w:id="567" w:name="_Toc21251"/>
      <w:bookmarkStart w:id="568" w:name="_Toc133498148"/>
      <w:bookmarkStart w:id="569" w:name="_Toc20044"/>
      <w:bookmarkStart w:id="570" w:name="_Toc19482"/>
      <w:bookmarkStart w:id="571" w:name="_Toc31163"/>
      <w:r>
        <w:rPr>
          <w:rFonts w:hint="eastAsia"/>
          <w:lang w:val="sv-SE" w:eastAsia="zh-CN"/>
        </w:rPr>
        <w:t>7</w:t>
      </w:r>
      <w:r>
        <w:rPr>
          <w:lang w:val="sv-SE"/>
        </w:rPr>
        <w:tab/>
      </w:r>
      <w:r>
        <w:rPr>
          <w:rFonts w:hint="eastAsia"/>
          <w:lang w:val="sv-SE" w:eastAsia="zh-CN"/>
        </w:rPr>
        <w:t>RF requirements</w:t>
      </w:r>
      <w:bookmarkEnd w:id="566"/>
      <w:bookmarkEnd w:id="567"/>
      <w:bookmarkEnd w:id="568"/>
      <w:bookmarkEnd w:id="569"/>
      <w:bookmarkEnd w:id="570"/>
      <w:bookmarkEnd w:id="571"/>
    </w:p>
    <w:p>
      <w:pPr>
        <w:pStyle w:val="3"/>
        <w:ind w:left="0" w:firstLine="0"/>
        <w:rPr>
          <w:lang w:eastAsia="zh-CN"/>
        </w:rPr>
      </w:pPr>
      <w:bookmarkStart w:id="572" w:name="_Toc6884"/>
      <w:bookmarkStart w:id="573" w:name="_Toc20745"/>
      <w:bookmarkStart w:id="574" w:name="_Toc31224"/>
      <w:bookmarkStart w:id="575" w:name="_Toc1428"/>
      <w:bookmarkStart w:id="576" w:name="_Toc133498149"/>
      <w:bookmarkStart w:id="577" w:name="_Toc3841"/>
      <w:r>
        <w:rPr>
          <w:rFonts w:hint="eastAsia"/>
          <w:lang w:eastAsia="zh-CN"/>
        </w:rPr>
        <w:t>7</w:t>
      </w:r>
      <w:r>
        <w:t>.1</w:t>
      </w:r>
      <w:r>
        <w:tab/>
      </w:r>
      <w:r>
        <w:rPr>
          <w:rFonts w:hint="eastAsia"/>
          <w:lang w:eastAsia="zh-CN"/>
        </w:rPr>
        <w:t xml:space="preserve">ATG </w:t>
      </w:r>
      <w:r>
        <w:rPr>
          <w:lang w:eastAsia="zh-CN"/>
        </w:rPr>
        <w:t>UE</w:t>
      </w:r>
      <w:r>
        <w:t xml:space="preserve"> specific</w:t>
      </w:r>
      <w:bookmarkEnd w:id="572"/>
      <w:bookmarkEnd w:id="573"/>
      <w:bookmarkEnd w:id="574"/>
      <w:bookmarkEnd w:id="575"/>
      <w:bookmarkEnd w:id="576"/>
      <w:bookmarkEnd w:id="577"/>
    </w:p>
    <w:p>
      <w:pPr>
        <w:pStyle w:val="4"/>
      </w:pPr>
      <w:bookmarkStart w:id="578" w:name="_Toc6182"/>
      <w:bookmarkStart w:id="579" w:name="_Toc133498150"/>
      <w:bookmarkStart w:id="580" w:name="_Toc21120"/>
      <w:bookmarkStart w:id="581" w:name="_Toc16525"/>
      <w:bookmarkStart w:id="582" w:name="_Toc26553"/>
      <w:bookmarkStart w:id="583" w:name="_Toc31798"/>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578"/>
      <w:bookmarkEnd w:id="579"/>
      <w:bookmarkEnd w:id="580"/>
      <w:bookmarkEnd w:id="581"/>
      <w:bookmarkEnd w:id="582"/>
      <w:bookmarkEnd w:id="583"/>
    </w:p>
    <w:p>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hint="eastAsia" w:eastAsia="SimSun"/>
          <w:szCs w:val="24"/>
          <w:lang w:val="en-US" w:eastAsia="zh-CN"/>
        </w:rPr>
        <w:t xml:space="preserve"> </w:t>
      </w:r>
      <w:r>
        <w:rPr>
          <w:rFonts w:hint="eastAsia"/>
          <w:lang w:val="en-US" w:eastAsia="zh-CN"/>
        </w:rPr>
        <w:t>and its capability report granularity as 1dB. The range of its power limit are defined as following:</w:t>
      </w:r>
    </w:p>
    <w:p>
      <w:pPr>
        <w:pStyle w:val="74"/>
        <w:rPr>
          <w:lang w:val="en-US" w:eastAsia="en-US"/>
        </w:rPr>
      </w:pPr>
      <w:r>
        <w:rPr>
          <w:lang w:eastAsia="en-US"/>
        </w:rPr>
        <w:t>-</w:t>
      </w:r>
      <w:r>
        <w:rPr>
          <w:lang w:eastAsia="en-US"/>
        </w:rPr>
        <w:tab/>
      </w:r>
      <w:r>
        <w:rPr>
          <w:lang w:eastAsia="en-US"/>
        </w:rPr>
        <w:t>The lower limit of conductive MOP or TRP of ATG UE is 23 dBm</w:t>
      </w:r>
    </w:p>
    <w:p>
      <w:pPr>
        <w:pStyle w:val="74"/>
        <w:rPr>
          <w:lang w:eastAsia="en-US"/>
        </w:rPr>
      </w:pPr>
      <w:r>
        <w:rPr>
          <w:lang w:eastAsia="en-US"/>
        </w:rPr>
        <w:t>-</w:t>
      </w:r>
      <w:r>
        <w:rPr>
          <w:lang w:eastAsia="en-US"/>
        </w:rPr>
        <w:tab/>
      </w:r>
      <w:r>
        <w:rPr>
          <w:lang w:eastAsia="en-US"/>
        </w:rPr>
        <w:t xml:space="preserve">The upper limit </w:t>
      </w:r>
      <w:r>
        <w:rPr>
          <w:rFonts w:hint="eastAsia" w:eastAsia="SimSun"/>
          <w:lang w:val="en-US" w:eastAsia="zh-CN"/>
        </w:rPr>
        <w:t xml:space="preserve">of </w:t>
      </w:r>
      <w:r>
        <w:rPr>
          <w:lang w:eastAsia="en-US"/>
        </w:rPr>
        <w:t>conductive MOP or TRP of ATG UE</w:t>
      </w:r>
      <w:r>
        <w:rPr>
          <w:rFonts w:hint="eastAsia" w:eastAsia="SimSun"/>
          <w:lang w:val="en-US" w:eastAsia="zh-CN"/>
        </w:rPr>
        <w:t xml:space="preserve"> is 40</w:t>
      </w:r>
      <w:r>
        <w:rPr>
          <w:rFonts w:eastAsia="SimSun"/>
          <w:lang w:val="en-US" w:eastAsia="zh-CN"/>
        </w:rPr>
        <w:t xml:space="preserve"> </w:t>
      </w:r>
      <w:r>
        <w:rPr>
          <w:rFonts w:hint="eastAsia" w:eastAsia="SimSun"/>
          <w:lang w:val="en-US" w:eastAsia="zh-CN"/>
        </w:rPr>
        <w:t>dBm</w:t>
      </w:r>
    </w:p>
    <w:p>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pPr>
        <w:pStyle w:val="4"/>
        <w:rPr>
          <w:lang w:eastAsia="zh-CN"/>
        </w:rPr>
      </w:pPr>
      <w:bookmarkStart w:id="584" w:name="_Toc16129"/>
      <w:bookmarkStart w:id="585" w:name="_Toc24927"/>
      <w:bookmarkStart w:id="586" w:name="_Toc133498151"/>
      <w:bookmarkStart w:id="587" w:name="_Toc3762"/>
      <w:bookmarkStart w:id="588" w:name="_Toc27783"/>
      <w:bookmarkStart w:id="589" w:name="_Toc21357"/>
      <w:r>
        <w:rPr>
          <w:rFonts w:hint="eastAsia"/>
        </w:rPr>
        <w:t>7.</w:t>
      </w:r>
      <w:r>
        <w:rPr>
          <w:rFonts w:hint="eastAsia"/>
          <w:lang w:eastAsia="zh-CN"/>
        </w:rPr>
        <w:t>1</w:t>
      </w:r>
      <w:r>
        <w:rPr>
          <w:rFonts w:hint="eastAsia"/>
        </w:rPr>
        <w:t xml:space="preserve">.2 </w:t>
      </w:r>
      <w:r>
        <w:rPr>
          <w:rFonts w:hint="eastAsia"/>
          <w:lang w:eastAsia="zh-CN"/>
        </w:rPr>
        <w:t>Tx requirements</w:t>
      </w:r>
      <w:bookmarkEnd w:id="584"/>
      <w:bookmarkEnd w:id="585"/>
      <w:bookmarkEnd w:id="586"/>
      <w:bookmarkEnd w:id="587"/>
      <w:bookmarkEnd w:id="588"/>
      <w:bookmarkEnd w:id="589"/>
    </w:p>
    <w:p>
      <w:pPr>
        <w:pStyle w:val="5"/>
        <w:numPr>
          <w:ilvl w:val="-1"/>
          <w:numId w:val="0"/>
        </w:numPr>
        <w:spacing w:after="0"/>
        <w:rPr>
          <w:lang w:eastAsia="zh-CN"/>
        </w:rPr>
      </w:pPr>
      <w:bookmarkStart w:id="590" w:name="_Toc133498152"/>
      <w:bookmarkStart w:id="591" w:name="_Toc9908"/>
      <w:bookmarkStart w:id="592" w:name="_Toc10573"/>
      <w:bookmarkStart w:id="593" w:name="_Toc15635"/>
      <w:bookmarkStart w:id="594" w:name="_Toc12377"/>
      <w:bookmarkStart w:id="595" w:name="_Toc22347"/>
      <w:r>
        <w:rPr>
          <w:lang w:eastAsia="zh-CN"/>
        </w:rPr>
        <w:t>7.1.2.1 Frequency error</w:t>
      </w:r>
      <w:bookmarkEnd w:id="590"/>
      <w:bookmarkEnd w:id="591"/>
      <w:bookmarkEnd w:id="592"/>
      <w:bookmarkEnd w:id="593"/>
      <w:bookmarkEnd w:id="594"/>
      <w:bookmarkEnd w:id="595"/>
    </w:p>
    <w:p>
      <w:pPr>
        <w:jc w:val="both"/>
      </w:pPr>
      <w:r>
        <w:t xml:space="preserve">The doppler frequency for ATG UE can be determined by, </w:t>
      </w:r>
    </w:p>
    <w:p>
      <w:pPr>
        <w:jc w:val="both"/>
      </w:pPr>
      <m:oMathPara>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D</m:t>
              </m:r>
              <m:ctrlPr>
                <w:rPr>
                  <w:rFonts w:ascii="Cambria Math" w:hAnsi="Cambria Math"/>
                  <w:i/>
                </w:rPr>
              </m:ctrlPr>
            </m:sub>
          </m:sSub>
          <m:r>
            <m:rPr/>
            <w:rPr>
              <w:rFonts w:ascii="Cambria Math" w:hAnsi="Cambria Math"/>
            </w:rPr>
            <m:t xml:space="preserve"> =  cosθ∗</m:t>
          </m:r>
          <m:f>
            <m:fPr>
              <m:ctrlPr>
                <w:rPr>
                  <w:rFonts w:ascii="Cambria Math" w:hAnsi="Cambria Math"/>
                  <w:i/>
                </w:rPr>
              </m:ctrlPr>
            </m:fPr>
            <m:num>
              <m:r>
                <m:rPr/>
                <w:rPr>
                  <w:rFonts w:ascii="Cambria Math" w:hAnsi="Cambria Math"/>
                </w:rPr>
                <m:t>v</m:t>
              </m:r>
              <m:ctrlPr>
                <w:rPr>
                  <w:rFonts w:ascii="Cambria Math" w:hAnsi="Cambria Math"/>
                  <w:i/>
                </w:rPr>
              </m:ctrlPr>
            </m:num>
            <m:den>
              <m:r>
                <m:rPr/>
                <w:rPr>
                  <w:rFonts w:ascii="Cambria Math" w:hAnsi="Cambria Math"/>
                </w:rPr>
                <m:t>c</m:t>
              </m:r>
              <m:ctrlPr>
                <w:rPr>
                  <w:rFonts w:ascii="Cambria Math" w:hAnsi="Cambria Math"/>
                  <w:i/>
                </w:rPr>
              </m:ctrlPr>
            </m:den>
          </m:f>
          <m:r>
            <m:rPr/>
            <w:rPr>
              <w:rFonts w:ascii="Cambria Math" w:hAnsi="Cambria Math" w:cs="Cambria Math" w:eastAsiaTheme="minorEastAsia"/>
            </w:rPr>
            <m:t>∗</m:t>
          </m:r>
          <m:r>
            <m:rPr/>
            <w:rPr>
              <w:rFonts w:ascii="Cambria Math" w:hAnsi="Cambria Math"/>
            </w:rPr>
            <m:t>f_c</m:t>
          </m:r>
        </m:oMath>
      </m:oMathPara>
    </w:p>
    <w:p>
      <w:pPr>
        <w:jc w:val="both"/>
      </w:pPr>
      <w:r>
        <w:t>Where,</w:t>
      </w:r>
    </w:p>
    <w:p>
      <w:pPr>
        <w:pStyle w:val="74"/>
      </w:pPr>
      <w:r>
        <w:t>-</w:t>
      </w:r>
      <w:r>
        <w:tab/>
      </w:r>
      <w:r>
        <w:t>f</w:t>
      </w:r>
      <w:r>
        <w:rPr>
          <w:vertAlign w:val="subscript"/>
        </w:rPr>
        <w:t>D</w:t>
      </w:r>
      <w:r>
        <w:t xml:space="preserve"> is Doppler frequency, f_c is the carrier frequency, which is set as 5GHz for n79. </w:t>
      </w:r>
    </w:p>
    <w:p>
      <w:pPr>
        <w:pStyle w:val="74"/>
      </w:pPr>
      <w:r>
        <w:t>-</w:t>
      </w:r>
      <w:r>
        <w:tab/>
      </w:r>
      <w:r>
        <w:t>v is the speed of the aircraft which is 1200km/h.</w:t>
      </w:r>
    </w:p>
    <w:p>
      <w:pPr>
        <w:pStyle w:val="74"/>
      </w:pPr>
      <w:r>
        <w:t>-</w:t>
      </w:r>
      <w:r>
        <w:tab/>
      </w:r>
      <m:oMath>
        <m:r>
          <m:rPr/>
          <w:rPr>
            <w:rFonts w:ascii="Cambria Math" w:hAnsi="Cambria Math"/>
          </w:rPr>
          <m:t>θ</m:t>
        </m:r>
      </m:oMath>
      <w:r>
        <w:t xml:space="preserve"> is the elevation angle between UE and gNB. </w:t>
      </w:r>
    </w:p>
    <w:p>
      <w:pPr>
        <w:jc w:val="both"/>
      </w:pPr>
      <w:r>
        <w:t xml:space="preserve">Since the </w:t>
      </w:r>
      <w:r>
        <w:rPr>
          <w:rFonts w:hint="eastAsia" w:eastAsia="SimSun"/>
          <w:lang w:val="en-US" w:eastAsia="zh-CN"/>
        </w:rPr>
        <w:t>potential</w:t>
      </w:r>
      <w:r>
        <w:t xml:space="preserve"> maximum cell range is up to 200-300km [</w:t>
      </w:r>
      <w:r>
        <w:rPr>
          <w:rFonts w:hint="eastAsia" w:eastAsia="SimSun"/>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hint="eastAsia" w:eastAsia="SimSun"/>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pPr>
        <w:jc w:val="both"/>
        <w:rPr>
          <w:lang w:val="en-US" w:eastAsia="zh-CN"/>
        </w:rPr>
      </w:pPr>
      <w:r>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hint="eastAsia" w:eastAsia="SimSun"/>
          <w:lang w:val="en-US" w:eastAsia="zh-CN"/>
        </w:rPr>
        <w:t xml:space="preserve"> if </w:t>
      </w:r>
      <w:r>
        <w:rPr>
          <w:rFonts w:eastAsia="SimSun"/>
          <w:lang w:val="en-US" w:eastAsia="zh-CN"/>
        </w:rPr>
        <w:t>pre-compensation is based on SIB19</w:t>
      </w:r>
      <w:r>
        <w:t xml:space="preserve">. </w:t>
      </w:r>
      <w:r>
        <w:rPr>
          <w:lang w:val="en-US" w:eastAsia="zh-CN"/>
        </w:rPr>
        <w:t>Where, Ephemeris may be expressed in format of position and velocity state vector].</w:t>
      </w:r>
    </w:p>
    <w:p>
      <w:pPr>
        <w:pStyle w:val="5"/>
        <w:spacing w:before="120" w:beforeAutospacing="1" w:after="312" w:afterLines="100"/>
        <w:outlineLvl w:val="3"/>
        <w:rPr>
          <w:lang w:eastAsia="zh-CN"/>
        </w:rPr>
      </w:pPr>
      <w:bookmarkStart w:id="596" w:name="_Toc30253"/>
      <w:bookmarkStart w:id="597" w:name="_Toc9456"/>
      <w:bookmarkStart w:id="598" w:name="_Toc31247"/>
      <w:bookmarkStart w:id="599" w:name="_Toc32255"/>
      <w:r>
        <w:rPr>
          <w:lang w:eastAsia="zh-CN"/>
        </w:rPr>
        <w:t>7.1.2.2 MOP requirements</w:t>
      </w:r>
      <w:bookmarkEnd w:id="596"/>
      <w:bookmarkEnd w:id="597"/>
      <w:bookmarkEnd w:id="598"/>
      <w:bookmarkEnd w:id="599"/>
    </w:p>
    <w:p>
      <w:pPr>
        <w:rPr>
          <w:rFonts w:eastAsia="SimSun"/>
          <w:lang w:eastAsia="zh-CN"/>
        </w:rPr>
      </w:pPr>
      <w:r>
        <w:rPr>
          <w:rFonts w:hint="eastAsia" w:eastAsia="SimSun"/>
          <w:lang w:eastAsia="zh-CN"/>
        </w:rPr>
        <w:t>F</w:t>
      </w:r>
      <w:r>
        <w:rPr>
          <w:rFonts w:eastAsia="SimSun"/>
          <w:lang w:eastAsia="zh-CN"/>
        </w:rPr>
        <w:t xml:space="preserve">or ATG UE, the maximum output power is </w:t>
      </w:r>
      <w:r>
        <w:rPr>
          <w:rFonts w:hint="eastAsia" w:eastAsia="SimSun"/>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pPr>
        <w:rPr>
          <w:rFonts w:eastAsia="SimSun"/>
          <w:lang w:eastAsia="zh-CN"/>
        </w:rPr>
      </w:pPr>
      <w:r>
        <w:rPr>
          <w:rFonts w:eastAsia="SimSun"/>
          <w:lang w:eastAsia="zh-CN"/>
        </w:rPr>
        <w:t xml:space="preserve">ATG UE implementations/antenna patterns </w:t>
      </w:r>
      <w:r>
        <w:rPr>
          <w:rFonts w:hint="eastAsia" w:eastAsia="SimSun"/>
          <w:lang w:val="en-US" w:eastAsia="zh-CN"/>
        </w:rPr>
        <w:t>might be</w:t>
      </w:r>
      <w:r>
        <w:rPr>
          <w:rFonts w:eastAsia="SimSun"/>
          <w:lang w:eastAsia="zh-CN"/>
        </w:rPr>
        <w:t xml:space="preserve"> </w:t>
      </w:r>
      <w:r>
        <w:rPr>
          <w:rFonts w:hint="eastAsia" w:eastAsia="SimSun"/>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hint="eastAsia" w:eastAsia="SimSun"/>
          <w:lang w:val="en-US" w:eastAsia="zh-CN"/>
        </w:rPr>
        <w:t>appropriate</w:t>
      </w:r>
      <w:r>
        <w:rPr>
          <w:rFonts w:eastAsia="SimSun"/>
          <w:lang w:eastAsia="zh-CN"/>
        </w:rPr>
        <w:t xml:space="preserve"> output power for an ATG UE considering all design</w:t>
      </w:r>
      <w:r>
        <w:rPr>
          <w:rFonts w:hint="eastAsia" w:eastAsia="SimSun"/>
          <w:lang w:val="en-US" w:eastAsia="zh-CN"/>
        </w:rPr>
        <w:t>,</w:t>
      </w:r>
      <w:r>
        <w:rPr>
          <w:rFonts w:eastAsia="SimSun"/>
          <w:lang w:val="en-US" w:eastAsia="zh-CN"/>
        </w:rPr>
        <w:t xml:space="preserve"> </w:t>
      </w:r>
      <w:r>
        <w:rPr>
          <w:rFonts w:eastAsia="SimSun"/>
          <w:lang w:eastAsia="zh-CN"/>
        </w:rPr>
        <w:t>regulatory constraints</w:t>
      </w:r>
      <w:r>
        <w:rPr>
          <w:rFonts w:hint="eastAsia" w:eastAsia="SimSun"/>
          <w:lang w:val="en-US" w:eastAsia="zh-CN"/>
        </w:rPr>
        <w:t xml:space="preserve"> and potential avionics device protection</w:t>
      </w:r>
      <w:r>
        <w:rPr>
          <w:rFonts w:eastAsia="SimSun"/>
          <w:lang w:eastAsia="zh-CN"/>
        </w:rPr>
        <w:t xml:space="preserve">. For this reason, it </w:t>
      </w:r>
      <w:r>
        <w:rPr>
          <w:rFonts w:hint="eastAsia" w:eastAsia="SimSun"/>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pPr>
        <w:pStyle w:val="5"/>
        <w:spacing w:before="120" w:beforeAutospacing="1" w:after="312" w:afterLines="100"/>
        <w:outlineLvl w:val="3"/>
        <w:rPr>
          <w:lang w:eastAsia="zh-CN"/>
        </w:rPr>
      </w:pPr>
      <w:bookmarkStart w:id="600" w:name="_Toc6356"/>
      <w:bookmarkStart w:id="601" w:name="_Toc15251"/>
      <w:bookmarkStart w:id="602" w:name="_Toc7183"/>
      <w:bookmarkStart w:id="603" w:name="_Toc12573"/>
      <w:r>
        <w:rPr>
          <w:lang w:eastAsia="zh-CN"/>
        </w:rPr>
        <w:t>7.1.2.3 MPR/AMPR requirements</w:t>
      </w:r>
      <w:bookmarkEnd w:id="600"/>
      <w:bookmarkEnd w:id="601"/>
      <w:bookmarkEnd w:id="602"/>
      <w:bookmarkEnd w:id="603"/>
    </w:p>
    <w:p>
      <w:pPr>
        <w:rPr>
          <w:rFonts w:eastAsia="SimSun"/>
          <w:lang w:eastAsia="zh-CN"/>
        </w:rPr>
      </w:pPr>
      <w:r>
        <w:rPr>
          <w:rFonts w:eastAsia="SimSun"/>
          <w:lang w:eastAsia="zh-CN"/>
        </w:rPr>
        <w:t xml:space="preserve">ATG UE is allowed to declare the output power at </w:t>
      </w:r>
      <w:r>
        <w:rPr>
          <w:rFonts w:hint="eastAsia" w:eastAsia="SimSun"/>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hint="eastAsia" w:eastAsia="SimSun"/>
          <w:lang w:val="en-US" w:eastAsia="zh-CN"/>
        </w:rPr>
        <w:t>ever</w:t>
      </w:r>
      <w:r>
        <w:rPr>
          <w:rFonts w:eastAsia="SimSun"/>
          <w:lang w:eastAsia="zh-CN"/>
        </w:rPr>
        <w:t xml:space="preserve"> power back-off is needed. Additionally, when ATG UE indicate the maximum output power under the specific conditions (</w:t>
      </w:r>
      <w:r>
        <w:rPr>
          <w:rFonts w:hint="eastAsia" w:eastAsia="SimSun"/>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pPr>
        <w:pStyle w:val="5"/>
        <w:numPr>
          <w:ilvl w:val="-1"/>
          <w:numId w:val="0"/>
        </w:numPr>
        <w:spacing w:after="0"/>
        <w:rPr>
          <w:lang w:eastAsia="zh-CN"/>
        </w:rPr>
      </w:pPr>
      <w:bookmarkStart w:id="604" w:name="_Toc19826"/>
      <w:bookmarkStart w:id="605" w:name="_Toc30377"/>
      <w:bookmarkStart w:id="606" w:name="_Toc9101"/>
      <w:bookmarkStart w:id="607" w:name="_Toc4954"/>
      <w:bookmarkStart w:id="608" w:name="_Toc21377"/>
      <w:bookmarkStart w:id="609" w:name="_Toc133498153"/>
      <w:r>
        <w:rPr>
          <w:lang w:eastAsia="zh-CN"/>
        </w:rPr>
        <w:t>7.1.2.4 Configured transmitted power</w:t>
      </w:r>
      <w:bookmarkEnd w:id="604"/>
      <w:bookmarkEnd w:id="605"/>
      <w:bookmarkEnd w:id="606"/>
      <w:bookmarkEnd w:id="607"/>
      <w:bookmarkEnd w:id="608"/>
      <w:bookmarkEnd w:id="609"/>
    </w:p>
    <w:p>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pPr>
        <w:pStyle w:val="58"/>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pPr>
        <w:pStyle w:val="58"/>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610" w:name="_Hlk142147439"/>
      <w:r>
        <w:rPr>
          <w:i/>
          <w:lang w:eastAsia="zh-CN"/>
        </w:rPr>
        <w:t>P</w:t>
      </w:r>
      <w:r>
        <w:rPr>
          <w:i/>
          <w:vertAlign w:val="subscript"/>
          <w:lang w:eastAsia="zh-CN"/>
        </w:rPr>
        <w:t>MaxOutputPower</w:t>
      </w:r>
      <w:bookmarkEnd w:id="610"/>
      <w:r>
        <w:rPr>
          <w:lang w:eastAsia="zh-CN"/>
        </w:rPr>
        <w:t>}</w:t>
      </w:r>
    </w:p>
    <w:p>
      <w:pPr>
        <w:pStyle w:val="58"/>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pPr>
        <w:rPr>
          <w:lang w:eastAsia="zh-CN"/>
        </w:rPr>
      </w:pPr>
      <w:r>
        <w:rPr>
          <w:lang w:eastAsia="zh-CN"/>
        </w:rPr>
        <w:t>where</w:t>
      </w:r>
    </w:p>
    <w:p>
      <w:pPr>
        <w:pStyle w:val="74"/>
        <w:rPr>
          <w:lang w:eastAsia="zh-CN"/>
        </w:rPr>
      </w:pPr>
      <w:r>
        <w:rPr>
          <w:lang w:eastAsia="zh-CN"/>
        </w:rPr>
        <w:tab/>
      </w:r>
      <w:r>
        <w:rPr>
          <w:lang w:eastAsia="zh-CN"/>
        </w:rPr>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pPr>
        <w:pStyle w:val="74"/>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pPr>
        <w:pStyle w:val="5"/>
        <w:spacing w:after="0"/>
        <w:ind w:left="0" w:firstLine="0"/>
        <w:rPr>
          <w:lang w:eastAsia="zh-CN"/>
        </w:rPr>
      </w:pPr>
      <w:bookmarkStart w:id="611" w:name="_Toc30038"/>
      <w:bookmarkStart w:id="612" w:name="_Toc25923"/>
      <w:bookmarkStart w:id="613" w:name="_Toc3162"/>
      <w:bookmarkStart w:id="614" w:name="_Toc20481"/>
      <w:bookmarkStart w:id="615" w:name="_Toc133498154"/>
      <w:bookmarkStart w:id="616" w:name="_Toc7147"/>
      <w:r>
        <w:rPr>
          <w:lang w:eastAsia="zh-CN"/>
        </w:rPr>
        <w:t>7.1.2.5 Minimum output power</w:t>
      </w:r>
      <w:bookmarkEnd w:id="611"/>
      <w:bookmarkEnd w:id="612"/>
      <w:bookmarkEnd w:id="613"/>
      <w:bookmarkEnd w:id="614"/>
      <w:bookmarkEnd w:id="615"/>
      <w:bookmarkEnd w:id="616"/>
    </w:p>
    <w:p>
      <w:pPr>
        <w:rPr>
          <w:rFonts w:eastAsia="SimSun"/>
          <w:lang w:eastAsia="zh-CN"/>
        </w:rPr>
      </w:pPr>
      <w:r>
        <w:rPr>
          <w:rFonts w:eastAsia="SimSun"/>
          <w:lang w:eastAsia="zh-CN"/>
        </w:rPr>
        <w:t>The calculation and results for minimum output power are listed below.</w:t>
      </w:r>
    </w:p>
    <w:p>
      <w:pPr>
        <w:pStyle w:val="28"/>
        <w:keepNext/>
        <w:jc w:val="center"/>
        <w:rPr>
          <w:rFonts w:ascii="Arial" w:hAnsi="Arial" w:cs="Arial"/>
        </w:rPr>
      </w:pPr>
      <w:r>
        <w:rPr>
          <w:rFonts w:ascii="Arial" w:hAnsi="Arial" w:cs="Arial"/>
        </w:rPr>
        <w:t>Table 7.1.2.5-1 the calculation for minimum output power requirements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9"/>
        <w:gridCol w:w="2266"/>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Parameters</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Omni-directional antenna</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phased array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center frequency GHz</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2</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Distance meter</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3000</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Pathloss dB</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108.063</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114.0836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ATG BS antenna gain</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21</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ATG UE antenna gain</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0</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-114</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ATG BS Noise figure dB</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5</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Minimum output power dBm/MHz</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-21.937</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-26.9164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-14.9473</w:t>
            </w:r>
          </w:p>
        </w:tc>
        <w:tc>
          <w:tcPr>
            <w:tcW w:w="0" w:type="auto"/>
            <w:shd w:val="clear" w:color="auto" w:fill="auto"/>
            <w:noWrap/>
            <w:vAlign w:val="center"/>
          </w:tcPr>
          <w:p>
            <w:pPr>
              <w:overflowPunct/>
              <w:autoSpaceDE/>
              <w:autoSpaceDN/>
              <w:adjustRightInd/>
              <w:spacing w:after="0"/>
              <w:jc w:val="center"/>
              <w:textAlignment w:val="auto"/>
              <w:rPr>
                <w:rFonts w:eastAsia="SimSun"/>
                <w:lang w:val="en-US" w:eastAsia="zh-CN"/>
              </w:rPr>
            </w:pPr>
            <w:r>
              <w:t>-19.92669996</w:t>
            </w:r>
          </w:p>
        </w:tc>
      </w:tr>
    </w:tbl>
    <w:p>
      <w:pPr>
        <w:rPr>
          <w:rFonts w:eastAsia="SimSun"/>
          <w:lang w:eastAsia="zh-CN"/>
        </w:rPr>
      </w:pPr>
      <w:r>
        <w:rPr>
          <w:rFonts w:eastAsia="SimSun"/>
          <w:lang w:eastAsia="zh-CN"/>
        </w:rPr>
        <w:t>The minimum output power requirements are specified below.</w:t>
      </w:r>
    </w:p>
    <w:p>
      <w:pPr>
        <w:pStyle w:val="28"/>
        <w:keepNext/>
        <w:jc w:val="center"/>
        <w:rPr>
          <w:rFonts w:ascii="Arial" w:hAnsi="Arial" w:cs="Arial"/>
        </w:rPr>
      </w:pPr>
      <w:r>
        <w:rPr>
          <w:rFonts w:ascii="Arial" w:hAnsi="Arial" w:cs="Arial"/>
        </w:rPr>
        <w:t>Table 7.1.2.5-2 the calculation for minimum output power requirements</w:t>
      </w:r>
    </w:p>
    <w:tbl>
      <w:tblPr>
        <w:tblStyle w:val="49"/>
        <w:tblW w:w="0" w:type="auto"/>
        <w:jc w:val="center"/>
        <w:tblLayout w:type="fixed"/>
        <w:tblCellMar>
          <w:top w:w="0" w:type="dxa"/>
          <w:left w:w="108" w:type="dxa"/>
          <w:bottom w:w="0" w:type="dxa"/>
          <w:right w:w="108" w:type="dxa"/>
        </w:tblCellMar>
      </w:tblPr>
      <w:tblGrid>
        <w:gridCol w:w="2188"/>
        <w:gridCol w:w="863"/>
        <w:gridCol w:w="1134"/>
        <w:gridCol w:w="2122"/>
        <w:gridCol w:w="2346"/>
      </w:tblGrid>
      <w:tr>
        <w:tblPrEx>
          <w:tblCellMar>
            <w:top w:w="0" w:type="dxa"/>
            <w:left w:w="108" w:type="dxa"/>
            <w:bottom w:w="0" w:type="dxa"/>
            <w:right w:w="108" w:type="dxa"/>
          </w:tblCellMar>
        </w:tblPrEx>
        <w:trPr>
          <w:trHeight w:val="492" w:hRule="atLeast"/>
          <w:jc w:val="center"/>
        </w:trPr>
        <w:tc>
          <w:tcPr>
            <w:tcW w:w="2188"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7"/>
            </w:pPr>
            <w:r>
              <w:t>Channel bandwidth</w:t>
            </w:r>
          </w:p>
        </w:tc>
        <w:tc>
          <w:tcPr>
            <w:tcW w:w="863" w:type="dxa"/>
            <w:tcBorders>
              <w:top w:val="single" w:color="auto" w:sz="8" w:space="0"/>
              <w:left w:val="nil"/>
              <w:bottom w:val="single" w:color="auto" w:sz="8" w:space="0"/>
              <w:right w:val="single" w:color="auto" w:sz="8" w:space="0"/>
            </w:tcBorders>
            <w:shd w:val="clear" w:color="auto" w:fill="auto"/>
            <w:vAlign w:val="center"/>
          </w:tcPr>
          <w:p>
            <w:pPr>
              <w:pStyle w:val="67"/>
            </w:pPr>
            <w:r>
              <w:t>(MHz)</w:t>
            </w:r>
          </w:p>
        </w:tc>
        <w:tc>
          <w:tcPr>
            <w:tcW w:w="1134" w:type="dxa"/>
            <w:tcBorders>
              <w:top w:val="single" w:color="auto" w:sz="8" w:space="0"/>
              <w:left w:val="nil"/>
              <w:bottom w:val="single" w:color="auto" w:sz="8" w:space="0"/>
              <w:right w:val="single" w:color="auto" w:sz="8" w:space="0"/>
            </w:tcBorders>
            <w:shd w:val="clear" w:color="auto" w:fill="auto"/>
            <w:noWrap/>
            <w:vAlign w:val="center"/>
          </w:tcPr>
          <w:p>
            <w:pPr>
              <w:pStyle w:val="67"/>
            </w:pPr>
            <w:r>
              <w:t>5,10,15,20</w:t>
            </w:r>
          </w:p>
        </w:tc>
        <w:tc>
          <w:tcPr>
            <w:tcW w:w="2122" w:type="dxa"/>
            <w:tcBorders>
              <w:top w:val="single" w:color="auto" w:sz="8" w:space="0"/>
              <w:left w:val="nil"/>
              <w:bottom w:val="single" w:color="auto" w:sz="8" w:space="0"/>
              <w:right w:val="single" w:color="auto" w:sz="8" w:space="0"/>
            </w:tcBorders>
            <w:shd w:val="clear" w:color="auto" w:fill="auto"/>
            <w:noWrap/>
            <w:vAlign w:val="center"/>
          </w:tcPr>
          <w:p>
            <w:pPr>
              <w:pStyle w:val="67"/>
            </w:pPr>
            <w:r>
              <w:t>25,30,35,40,45,50</w:t>
            </w:r>
          </w:p>
        </w:tc>
        <w:tc>
          <w:tcPr>
            <w:tcW w:w="2346" w:type="dxa"/>
            <w:tcBorders>
              <w:top w:val="single" w:color="auto" w:sz="8" w:space="0"/>
              <w:left w:val="nil"/>
              <w:bottom w:val="single" w:color="auto" w:sz="8" w:space="0"/>
              <w:right w:val="single" w:color="auto" w:sz="8" w:space="0"/>
            </w:tcBorders>
            <w:shd w:val="clear" w:color="auto" w:fill="auto"/>
            <w:noWrap/>
            <w:vAlign w:val="center"/>
          </w:tcPr>
          <w:p>
            <w:pPr>
              <w:pStyle w:val="67"/>
            </w:pPr>
            <w:r>
              <w:t>60,70,80,90,100</w:t>
            </w:r>
          </w:p>
        </w:tc>
      </w:tr>
      <w:tr>
        <w:tblPrEx>
          <w:tblCellMar>
            <w:top w:w="0" w:type="dxa"/>
            <w:left w:w="108" w:type="dxa"/>
            <w:bottom w:w="0" w:type="dxa"/>
            <w:right w:w="108" w:type="dxa"/>
          </w:tblCellMar>
        </w:tblPrEx>
        <w:trPr>
          <w:trHeight w:val="300" w:hRule="atLeast"/>
          <w:jc w:val="center"/>
        </w:trPr>
        <w:tc>
          <w:tcPr>
            <w:tcW w:w="2188" w:type="dxa"/>
            <w:tcBorders>
              <w:top w:val="nil"/>
              <w:left w:val="single" w:color="auto" w:sz="8" w:space="0"/>
              <w:bottom w:val="single" w:color="auto" w:sz="8" w:space="0"/>
              <w:right w:val="single" w:color="auto" w:sz="8" w:space="0"/>
            </w:tcBorders>
            <w:shd w:val="clear" w:color="auto" w:fill="auto"/>
            <w:vAlign w:val="center"/>
          </w:tcPr>
          <w:p>
            <w:pPr>
              <w:pStyle w:val="66"/>
            </w:pPr>
            <w:r>
              <w:t>REF_SCS</w:t>
            </w:r>
          </w:p>
        </w:tc>
        <w:tc>
          <w:tcPr>
            <w:tcW w:w="863" w:type="dxa"/>
            <w:tcBorders>
              <w:top w:val="nil"/>
              <w:left w:val="nil"/>
              <w:bottom w:val="single" w:color="auto" w:sz="8" w:space="0"/>
              <w:right w:val="single" w:color="auto" w:sz="8" w:space="0"/>
            </w:tcBorders>
            <w:shd w:val="clear" w:color="auto" w:fill="auto"/>
            <w:vAlign w:val="center"/>
          </w:tcPr>
          <w:p>
            <w:pPr>
              <w:pStyle w:val="68"/>
            </w:pPr>
            <w:r>
              <w:t>(kHz)</w:t>
            </w:r>
          </w:p>
        </w:tc>
        <w:tc>
          <w:tcPr>
            <w:tcW w:w="3256" w:type="dxa"/>
            <w:gridSpan w:val="2"/>
            <w:tcBorders>
              <w:top w:val="nil"/>
              <w:left w:val="nil"/>
              <w:bottom w:val="single" w:color="auto" w:sz="8" w:space="0"/>
              <w:right w:val="single" w:color="auto" w:sz="8" w:space="0"/>
            </w:tcBorders>
            <w:shd w:val="clear" w:color="auto" w:fill="auto"/>
            <w:noWrap/>
            <w:vAlign w:val="center"/>
          </w:tcPr>
          <w:p>
            <w:pPr>
              <w:pStyle w:val="68"/>
              <w:rPr>
                <w:rFonts w:eastAsia="SimSun"/>
                <w:lang w:val="en-US" w:eastAsia="zh-CN"/>
              </w:rPr>
            </w:pPr>
            <w:r>
              <w:rPr>
                <w:rFonts w:hint="eastAsia" w:eastAsia="SimSun"/>
                <w:lang w:val="en-US" w:eastAsia="zh-CN"/>
              </w:rPr>
              <w:t>15</w:t>
            </w:r>
          </w:p>
        </w:tc>
        <w:tc>
          <w:tcPr>
            <w:tcW w:w="2346" w:type="dxa"/>
            <w:tcBorders>
              <w:top w:val="nil"/>
              <w:left w:val="nil"/>
              <w:bottom w:val="single" w:color="auto" w:sz="8" w:space="0"/>
              <w:right w:val="single" w:color="auto" w:sz="8" w:space="0"/>
            </w:tcBorders>
            <w:shd w:val="clear" w:color="auto" w:fill="auto"/>
            <w:noWrap/>
            <w:vAlign w:val="center"/>
          </w:tcPr>
          <w:p>
            <w:pPr>
              <w:pStyle w:val="68"/>
              <w:rPr>
                <w:rFonts w:eastAsia="SimSun"/>
                <w:lang w:val="en-US" w:eastAsia="zh-CN"/>
              </w:rPr>
            </w:pPr>
            <w:r>
              <w:rPr>
                <w:rFonts w:hint="eastAsia" w:eastAsia="SimSun"/>
                <w:lang w:val="en-US" w:eastAsia="zh-CN"/>
              </w:rPr>
              <w:t>30</w:t>
            </w:r>
          </w:p>
        </w:tc>
      </w:tr>
      <w:tr>
        <w:tblPrEx>
          <w:tblCellMar>
            <w:top w:w="0" w:type="dxa"/>
            <w:left w:w="108" w:type="dxa"/>
            <w:bottom w:w="0" w:type="dxa"/>
            <w:right w:w="108" w:type="dxa"/>
          </w:tblCellMar>
        </w:tblPrEx>
        <w:trPr>
          <w:trHeight w:val="492" w:hRule="atLeast"/>
          <w:jc w:val="center"/>
        </w:trPr>
        <w:tc>
          <w:tcPr>
            <w:tcW w:w="2188" w:type="dxa"/>
            <w:tcBorders>
              <w:top w:val="nil"/>
              <w:left w:val="single" w:color="auto" w:sz="8" w:space="0"/>
              <w:bottom w:val="single" w:color="auto" w:sz="8" w:space="0"/>
              <w:right w:val="single" w:color="auto" w:sz="8" w:space="0"/>
            </w:tcBorders>
            <w:shd w:val="clear" w:color="auto" w:fill="auto"/>
            <w:vAlign w:val="center"/>
          </w:tcPr>
          <w:p>
            <w:pPr>
              <w:pStyle w:val="66"/>
            </w:pPr>
            <w:r>
              <w:t>Minimum output power</w:t>
            </w:r>
          </w:p>
        </w:tc>
        <w:tc>
          <w:tcPr>
            <w:tcW w:w="863" w:type="dxa"/>
            <w:tcBorders>
              <w:top w:val="nil"/>
              <w:left w:val="nil"/>
              <w:bottom w:val="single" w:color="auto" w:sz="8" w:space="0"/>
              <w:right w:val="single" w:color="auto" w:sz="8" w:space="0"/>
            </w:tcBorders>
            <w:shd w:val="clear" w:color="auto" w:fill="auto"/>
            <w:vAlign w:val="center"/>
          </w:tcPr>
          <w:p>
            <w:pPr>
              <w:pStyle w:val="68"/>
            </w:pPr>
            <w:r>
              <w:t>(dBm)</w:t>
            </w:r>
          </w:p>
        </w:tc>
        <w:tc>
          <w:tcPr>
            <w:tcW w:w="1134" w:type="dxa"/>
            <w:tcBorders>
              <w:top w:val="single" w:color="auto" w:sz="8" w:space="0"/>
              <w:left w:val="nil"/>
              <w:bottom w:val="single" w:color="auto" w:sz="8" w:space="0"/>
              <w:right w:val="single" w:color="000000" w:sz="8" w:space="0"/>
            </w:tcBorders>
            <w:shd w:val="clear" w:color="auto" w:fill="auto"/>
            <w:noWrap/>
            <w:vAlign w:val="center"/>
          </w:tcPr>
          <w:p>
            <w:pPr>
              <w:pStyle w:val="68"/>
            </w:pPr>
            <w:r>
              <w:t>X</w:t>
            </w:r>
          </w:p>
        </w:tc>
        <w:tc>
          <w:tcPr>
            <w:tcW w:w="2122" w:type="dxa"/>
            <w:tcBorders>
              <w:top w:val="single" w:color="auto" w:sz="8" w:space="0"/>
              <w:left w:val="nil"/>
              <w:bottom w:val="single" w:color="auto" w:sz="8" w:space="0"/>
              <w:right w:val="single" w:color="000000" w:sz="8" w:space="0"/>
            </w:tcBorders>
            <w:shd w:val="clear" w:color="auto" w:fill="auto"/>
            <w:noWrap/>
            <w:vAlign w:val="center"/>
          </w:tcPr>
          <w:p>
            <w:pPr>
              <w:pStyle w:val="68"/>
              <w:rPr>
                <w:rFonts w:eastAsia="SimSun"/>
                <w:lang w:val="en-US" w:eastAsia="zh-CN"/>
              </w:rPr>
            </w:pPr>
            <w:r>
              <w:rPr>
                <w:rFonts w:eastAsia="SimSun"/>
                <w:lang w:val="en-US" w:eastAsia="zh-CN"/>
              </w:rPr>
              <w:t>X</w:t>
            </w:r>
            <w:r>
              <w:rPr>
                <w:rFonts w:hint="eastAsia" w:eastAsia="SimSun"/>
                <w:lang w:val="en-US" w:eastAsia="zh-CN"/>
              </w:rPr>
              <w:t>+</w:t>
            </w:r>
            <w:r>
              <w:t>10log</w:t>
            </w:r>
            <w:r>
              <w:rPr>
                <w:vertAlign w:val="subscript"/>
              </w:rPr>
              <w:t>10</w:t>
            </w:r>
            <w:r>
              <w:rPr>
                <w:rFonts w:hint="eastAsia" w:eastAsia="SimSun"/>
                <w:vertAlign w:val="subscript"/>
                <w:lang w:val="en-US" w:eastAsia="zh-CN"/>
              </w:rPr>
              <w:t xml:space="preserve"> </w:t>
            </w:r>
            <w:r>
              <w:t>(BW</w:t>
            </w:r>
            <w:r>
              <w:rPr>
                <w:vertAlign w:val="subscript"/>
              </w:rPr>
              <w:t>Channel</w:t>
            </w:r>
            <w:r>
              <w:t xml:space="preserve"> /20)</w:t>
            </w:r>
          </w:p>
        </w:tc>
        <w:tc>
          <w:tcPr>
            <w:tcW w:w="2346" w:type="dxa"/>
            <w:tcBorders>
              <w:top w:val="single" w:color="auto" w:sz="8" w:space="0"/>
              <w:left w:val="nil"/>
              <w:bottom w:val="single" w:color="auto" w:sz="8" w:space="0"/>
              <w:right w:val="single" w:color="000000" w:sz="8" w:space="0"/>
            </w:tcBorders>
            <w:shd w:val="clear" w:color="auto" w:fill="auto"/>
            <w:noWrap/>
            <w:vAlign w:val="center"/>
          </w:tcPr>
          <w:p>
            <w:pPr>
              <w:pStyle w:val="68"/>
              <w:rPr>
                <w:rFonts w:eastAsia="SimSun"/>
                <w:lang w:val="en-US" w:eastAsia="zh-CN"/>
              </w:rPr>
            </w:pPr>
            <w:r>
              <w:rPr>
                <w:rFonts w:eastAsia="SimSun"/>
                <w:lang w:val="en-US" w:eastAsia="zh-CN"/>
              </w:rPr>
              <w:t>X</w:t>
            </w:r>
            <w:r>
              <w:rPr>
                <w:rFonts w:hint="eastAsia" w:eastAsia="SimSun"/>
                <w:lang w:val="en-US" w:eastAsia="zh-CN"/>
              </w:rPr>
              <w:t>+</w:t>
            </w:r>
            <w:r>
              <w:t>10log</w:t>
            </w:r>
            <w:r>
              <w:rPr>
                <w:vertAlign w:val="subscript"/>
              </w:rPr>
              <w:t>10</w:t>
            </w:r>
            <w:r>
              <w:rPr>
                <w:rFonts w:hint="eastAsia" w:eastAsia="SimSun"/>
                <w:vertAlign w:val="subscript"/>
                <w:lang w:val="en-US" w:eastAsia="zh-CN"/>
              </w:rPr>
              <w:t xml:space="preserve"> </w:t>
            </w:r>
            <w:r>
              <w:t>(BW</w:t>
            </w:r>
            <w:r>
              <w:rPr>
                <w:vertAlign w:val="subscript"/>
              </w:rPr>
              <w:t>Channel</w:t>
            </w:r>
            <w:r>
              <w:t xml:space="preserve"> /20)</w:t>
            </w:r>
          </w:p>
        </w:tc>
      </w:tr>
      <w:tr>
        <w:tblPrEx>
          <w:tblCellMar>
            <w:top w:w="0" w:type="dxa"/>
            <w:left w:w="108" w:type="dxa"/>
            <w:bottom w:w="0" w:type="dxa"/>
            <w:right w:w="108" w:type="dxa"/>
          </w:tblCellMar>
        </w:tblPrEx>
        <w:trPr>
          <w:trHeight w:val="492" w:hRule="atLeast"/>
          <w:jc w:val="center"/>
        </w:trPr>
        <w:tc>
          <w:tcPr>
            <w:tcW w:w="2188"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6"/>
            </w:pPr>
            <w:r>
              <w:t>Measurement bandwidth</w:t>
            </w:r>
          </w:p>
        </w:tc>
        <w:tc>
          <w:tcPr>
            <w:tcW w:w="863"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8"/>
            </w:pPr>
            <w:r>
              <w:t>(MHz)</w:t>
            </w:r>
          </w:p>
        </w:tc>
        <w:tc>
          <w:tcPr>
            <w:tcW w:w="5602" w:type="dxa"/>
            <w:gridSpan w:val="3"/>
            <w:tcBorders>
              <w:top w:val="single" w:color="auto" w:sz="8" w:space="0"/>
              <w:left w:val="nil"/>
              <w:bottom w:val="single" w:color="auto" w:sz="8" w:space="0"/>
              <w:right w:val="single" w:color="000000" w:sz="8" w:space="0"/>
            </w:tcBorders>
            <w:shd w:val="clear" w:color="auto" w:fill="auto"/>
            <w:noWrap/>
            <w:vAlign w:val="center"/>
          </w:tcPr>
          <w:p>
            <w:pPr>
              <w:pStyle w:val="68"/>
            </w:pPr>
            <w:r>
              <w:t>MBW=REF_SCS*(12*N</w:t>
            </w:r>
            <w:r>
              <w:rPr>
                <w:vertAlign w:val="subscript"/>
              </w:rPr>
              <w:t>RB</w:t>
            </w:r>
            <w:r>
              <w:t>+1)/1000</w:t>
            </w:r>
          </w:p>
        </w:tc>
      </w:tr>
      <w:tr>
        <w:tblPrEx>
          <w:tblCellMar>
            <w:top w:w="0" w:type="dxa"/>
            <w:left w:w="108" w:type="dxa"/>
            <w:bottom w:w="0" w:type="dxa"/>
            <w:right w:w="108" w:type="dxa"/>
          </w:tblCellMar>
        </w:tblPrEx>
        <w:trPr>
          <w:trHeight w:val="492" w:hRule="atLeast"/>
          <w:jc w:val="center"/>
        </w:trPr>
        <w:tc>
          <w:tcPr>
            <w:tcW w:w="8653" w:type="dxa"/>
            <w:gridSpan w:val="5"/>
            <w:tcBorders>
              <w:top w:val="nil"/>
              <w:left w:val="single" w:color="auto" w:sz="8" w:space="0"/>
              <w:bottom w:val="single" w:color="auto" w:sz="8" w:space="0"/>
              <w:right w:val="single" w:color="000000" w:sz="8" w:space="0"/>
            </w:tcBorders>
            <w:shd w:val="clear" w:color="auto" w:fill="auto"/>
            <w:vAlign w:val="center"/>
          </w:tcPr>
          <w:p>
            <w:pPr>
              <w:pStyle w:val="81"/>
              <w:rPr>
                <w:rFonts w:eastAsia="SimSun"/>
                <w:lang w:val="en-US"/>
              </w:rPr>
            </w:pPr>
            <w:r>
              <w:rPr>
                <w:rFonts w:hint="eastAsia" w:eastAsia="SimSun"/>
                <w:lang w:val="en-US" w:eastAsia="zh-CN"/>
              </w:rPr>
              <w:t>NOTE</w:t>
            </w:r>
            <w:r>
              <w:rPr>
                <w:rFonts w:eastAsia="SimSun"/>
                <w:lang w:val="en-US" w:eastAsia="zh-CN"/>
              </w:rPr>
              <w:t xml:space="preserve"> 1</w:t>
            </w:r>
            <w:r>
              <w:rPr>
                <w:rFonts w:hint="eastAsia" w:eastAsia="SimSun"/>
                <w:lang w:val="en-US" w:eastAsia="zh-CN"/>
              </w:rPr>
              <w:t xml:space="preserve">: The minimum output power </w:t>
            </w:r>
            <w:r>
              <w:rPr>
                <w:rFonts w:eastAsia="SimSun"/>
                <w:lang w:val="en-US"/>
              </w:rPr>
              <w:t>value is rounded to the nearest number down to one decimal point.</w:t>
            </w:r>
          </w:p>
          <w:p>
            <w:pPr>
              <w:pStyle w:val="81"/>
              <w:rPr>
                <w:rFonts w:eastAsia="SimSun"/>
                <w:lang w:val="en-US" w:eastAsia="zh-CN"/>
              </w:rPr>
            </w:pPr>
            <w:r>
              <w:rPr>
                <w:rFonts w:eastAsia="SimSun"/>
                <w:lang w:val="en-US"/>
              </w:rPr>
              <w:t>NOTE 2: X = -15 for the ATG UE with omni-direction</w:t>
            </w:r>
            <w:r>
              <w:rPr>
                <w:rFonts w:hint="eastAsia" w:eastAsia="SimSun"/>
                <w:lang w:val="en-US" w:eastAsia="zh-CN"/>
              </w:rPr>
              <w:t>al</w:t>
            </w:r>
            <w:r>
              <w:rPr>
                <w:rFonts w:eastAsia="SimSun"/>
                <w:lang w:val="en-US"/>
              </w:rPr>
              <w:t xml:space="preserve"> antenna. X = -19 for the ATG UE with phased array antenna.</w:t>
            </w:r>
          </w:p>
        </w:tc>
      </w:tr>
    </w:tbl>
    <w:p>
      <w:pPr>
        <w:rPr>
          <w:rFonts w:eastAsia="SimSun"/>
          <w:lang w:eastAsia="zh-CN"/>
        </w:rPr>
      </w:pPr>
    </w:p>
    <w:p>
      <w:pPr>
        <w:pStyle w:val="5"/>
        <w:overflowPunct/>
        <w:autoSpaceDE/>
        <w:autoSpaceDN/>
        <w:adjustRightInd/>
        <w:spacing w:before="120" w:beforeAutospacing="1" w:after="312" w:afterLines="100"/>
        <w:textAlignment w:val="auto"/>
        <w:outlineLvl w:val="3"/>
        <w:rPr>
          <w:lang w:eastAsia="zh-CN"/>
        </w:rPr>
      </w:pPr>
      <w:bookmarkStart w:id="617" w:name="_Toc27952"/>
      <w:bookmarkStart w:id="618" w:name="_Toc13529"/>
      <w:bookmarkStart w:id="619" w:name="_Toc26331"/>
      <w:bookmarkStart w:id="620" w:name="_Toc133498155"/>
      <w:bookmarkStart w:id="621" w:name="_Toc17225"/>
      <w:r>
        <w:rPr>
          <w:lang w:eastAsia="zh-CN"/>
        </w:rPr>
        <w:t>7.1.2.6 Transmit OFF power</w:t>
      </w:r>
      <w:bookmarkEnd w:id="617"/>
      <w:bookmarkEnd w:id="618"/>
      <w:bookmarkEnd w:id="619"/>
      <w:bookmarkEnd w:id="620"/>
      <w:bookmarkEnd w:id="621"/>
    </w:p>
    <w:p>
      <w:pPr>
        <w:rPr>
          <w:rFonts w:eastAsia="SimSun"/>
          <w:lang w:eastAsia="zh-CN"/>
        </w:rPr>
      </w:pPr>
      <w:r>
        <w:rPr>
          <w:lang w:eastAsia="en-US"/>
        </w:rPr>
        <w:t>The current requirements for Transmit OFF power specified in clause 6.3.2 of TS 38.101-1 are applicable to ATG UE, i.e. -50dBm.</w:t>
      </w:r>
    </w:p>
    <w:p>
      <w:pPr>
        <w:pStyle w:val="5"/>
        <w:overflowPunct/>
        <w:autoSpaceDE/>
        <w:autoSpaceDN/>
        <w:adjustRightInd/>
        <w:spacing w:before="120" w:beforeAutospacing="1" w:after="312" w:afterLines="100"/>
        <w:textAlignment w:val="auto"/>
        <w:outlineLvl w:val="3"/>
        <w:rPr>
          <w:lang w:eastAsia="zh-CN"/>
        </w:rPr>
      </w:pPr>
      <w:bookmarkStart w:id="622" w:name="_Toc2103"/>
      <w:bookmarkStart w:id="623" w:name="_Toc133498156"/>
      <w:bookmarkStart w:id="624" w:name="_Toc6362"/>
      <w:bookmarkStart w:id="625" w:name="_Toc17540"/>
      <w:bookmarkStart w:id="626" w:name="_Toc20009"/>
      <w:r>
        <w:rPr>
          <w:lang w:eastAsia="zh-CN"/>
        </w:rPr>
        <w:t>7.1.2.7 Transmit ON/OFF time mask</w:t>
      </w:r>
      <w:bookmarkEnd w:id="622"/>
      <w:bookmarkEnd w:id="623"/>
      <w:bookmarkEnd w:id="624"/>
      <w:bookmarkEnd w:id="625"/>
      <w:bookmarkEnd w:id="626"/>
    </w:p>
    <w:p>
      <w:pPr>
        <w:rPr>
          <w:rFonts w:eastAsia="SimSun"/>
          <w:lang w:eastAsia="zh-CN"/>
        </w:rPr>
      </w:pPr>
      <w:r>
        <w:rPr>
          <w:lang w:eastAsia="en-US"/>
        </w:rPr>
        <w:t>The current requirements for Transmit ON/OFF time mask specified in clause 6.3.3 of TS 38.101-1 are applicable to ATG UE.</w:t>
      </w:r>
    </w:p>
    <w:p>
      <w:pPr>
        <w:pStyle w:val="5"/>
        <w:overflowPunct/>
        <w:autoSpaceDE/>
        <w:autoSpaceDN/>
        <w:adjustRightInd/>
        <w:spacing w:before="120" w:beforeAutospacing="1" w:after="312" w:afterLines="100"/>
        <w:textAlignment w:val="auto"/>
        <w:outlineLvl w:val="3"/>
        <w:rPr>
          <w:lang w:eastAsia="zh-CN"/>
        </w:rPr>
      </w:pPr>
      <w:bookmarkStart w:id="627" w:name="_Toc133498157"/>
      <w:bookmarkStart w:id="628" w:name="_Toc7698"/>
      <w:bookmarkStart w:id="629" w:name="_Toc17855"/>
      <w:bookmarkStart w:id="630" w:name="_Toc4492"/>
      <w:bookmarkStart w:id="631" w:name="_Toc6546"/>
      <w:r>
        <w:rPr>
          <w:lang w:eastAsia="zh-CN"/>
        </w:rPr>
        <w:t>7.1.2.8 Power control</w:t>
      </w:r>
      <w:bookmarkEnd w:id="627"/>
      <w:bookmarkEnd w:id="628"/>
      <w:bookmarkEnd w:id="629"/>
      <w:bookmarkEnd w:id="630"/>
      <w:bookmarkEnd w:id="631"/>
    </w:p>
    <w:p>
      <w:pPr>
        <w:rPr>
          <w:rFonts w:eastAsia="SimSun"/>
          <w:lang w:eastAsia="zh-CN"/>
        </w:rPr>
      </w:pPr>
      <w:r>
        <w:rPr>
          <w:lang w:eastAsia="en-US"/>
        </w:rPr>
        <w:t>The current requirements for power control specified in clause 6.3.4 of TS 38.101-1 are applicable to ATG UE.</w:t>
      </w:r>
    </w:p>
    <w:p>
      <w:pPr>
        <w:pStyle w:val="5"/>
        <w:spacing w:before="120" w:beforeAutospacing="1" w:after="312" w:afterLines="100"/>
        <w:outlineLvl w:val="3"/>
        <w:rPr>
          <w:lang w:eastAsia="zh-CN"/>
        </w:rPr>
      </w:pPr>
      <w:bookmarkStart w:id="632" w:name="_Toc4476"/>
      <w:bookmarkStart w:id="633" w:name="_Toc571"/>
      <w:bookmarkStart w:id="634" w:name="_Toc198"/>
      <w:bookmarkStart w:id="635" w:name="_Toc16558"/>
      <w:r>
        <w:rPr>
          <w:lang w:eastAsia="zh-CN"/>
        </w:rPr>
        <w:t>7.1.2.9 Transmit signal quality</w:t>
      </w:r>
      <w:bookmarkEnd w:id="632"/>
      <w:bookmarkEnd w:id="633"/>
      <w:bookmarkEnd w:id="634"/>
      <w:bookmarkEnd w:id="635"/>
    </w:p>
    <w:p>
      <w:r>
        <w:rPr>
          <w:rFonts w:eastAsia="SimSun"/>
          <w:lang w:eastAsia="zh-CN"/>
        </w:rPr>
        <w:t xml:space="preserve">Transmit signal quality include </w:t>
      </w:r>
      <w:r>
        <w:t>frequency error and transmit modulation quality.</w:t>
      </w:r>
    </w:p>
    <w:p>
      <w:r>
        <w:t>For frequency error, frequency pre-compensation is assumed for ATG UE. The existing requirement defined for NTN UE in TS 38.101-5</w:t>
      </w:r>
      <w:r>
        <w:rPr>
          <w:rFonts w:hint="eastAsia" w:eastAsia="SimSun"/>
          <w:lang w:val="en-US" w:eastAsia="zh-CN"/>
        </w:rPr>
        <w:t xml:space="preserve"> [7]</w:t>
      </w:r>
      <w:r>
        <w:t xml:space="preserve"> will be reused as baseline.</w:t>
      </w:r>
    </w:p>
    <w:p>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hint="eastAsia" w:eastAsia="SimSun"/>
          <w:bCs/>
          <w:lang w:val="en-US" w:eastAsia="zh-CN"/>
        </w:rPr>
        <w:t>6</w:t>
      </w:r>
      <w:r>
        <w:rPr>
          <w:bCs/>
          <w:lang w:eastAsia="en-US"/>
        </w:rPr>
        <w:t xml:space="preserve">], the SNR above 25dB can still be seen in the considered scenarios for both UL and DL. UL 256QAM is supported for ATG UE as optional feature.  </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pPr>
        <w:tabs>
          <w:tab w:val="left" w:pos="813"/>
        </w:tabs>
        <w:spacing w:after="160" w:line="259" w:lineRule="auto"/>
        <w:jc w:val="center"/>
        <w:rPr>
          <w:rFonts w:hint="default" w:ascii="Arial" w:hAnsi="Arial" w:eastAsia="SimSun" w:cs="Arial"/>
          <w:b/>
          <w:bCs/>
          <w:szCs w:val="22"/>
          <w:lang w:val="en-US" w:eastAsia="zh-CN"/>
        </w:rPr>
      </w:pPr>
      <w:r>
        <w:rPr>
          <w:rFonts w:ascii="Arial" w:hAnsi="Arial" w:eastAsia="Calibri" w:cs="Arial"/>
          <w:b/>
          <w:bCs/>
          <w:szCs w:val="22"/>
          <w:lang w:eastAsia="ja-JP"/>
        </w:rPr>
        <w:t>Figure 7.1.2.9-1</w:t>
      </w:r>
      <w:r>
        <w:rPr>
          <w:rFonts w:hint="eastAsia" w:ascii="Arial" w:hAnsi="Arial" w:eastAsia="SimSun" w:cs="Arial"/>
          <w:b/>
          <w:bCs/>
          <w:szCs w:val="22"/>
          <w:lang w:val="en-US" w:eastAsia="zh-CN"/>
        </w:rPr>
        <w:t>: received SNR for FDD 20MHz at 2GHz</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pPr>
        <w:tabs>
          <w:tab w:val="left" w:pos="813"/>
        </w:tabs>
        <w:spacing w:after="160" w:line="259" w:lineRule="auto"/>
        <w:jc w:val="center"/>
        <w:rPr>
          <w:rFonts w:hint="default" w:ascii="Arial" w:hAnsi="Arial" w:eastAsia="SimSun" w:cs="Arial"/>
          <w:b/>
          <w:bCs/>
          <w:szCs w:val="22"/>
          <w:lang w:val="en-US" w:eastAsia="zh-CN"/>
        </w:rPr>
      </w:pPr>
      <w:r>
        <w:rPr>
          <w:rFonts w:ascii="Arial" w:hAnsi="Arial" w:eastAsia="Calibri" w:cs="Arial"/>
          <w:b/>
          <w:bCs/>
          <w:szCs w:val="22"/>
          <w:lang w:eastAsia="ja-JP"/>
        </w:rPr>
        <w:t>Figure 7.1.2.9-</w:t>
      </w:r>
      <w:r>
        <w:rPr>
          <w:rFonts w:hint="eastAsia" w:ascii="Arial" w:hAnsi="Arial" w:eastAsia="SimSun" w:cs="Arial"/>
          <w:b/>
          <w:bCs/>
          <w:szCs w:val="22"/>
          <w:lang w:val="en-US" w:eastAsia="zh-CN"/>
        </w:rPr>
        <w:t>2: received SNR for TDD 100MHz at 4GHz</w:t>
      </w:r>
    </w:p>
    <w:p>
      <w:r>
        <w:t>For transmit modulation quality, the following requirement for FR1 UE in 38.101-1</w:t>
      </w:r>
      <w:r>
        <w:rPr>
          <w:rFonts w:hint="eastAsia" w:eastAsia="SimSun"/>
          <w:lang w:val="en-US" w:eastAsia="zh-CN"/>
        </w:rPr>
        <w:t xml:space="preserve"> [4]</w:t>
      </w:r>
      <w:r>
        <w:t xml:space="preserve"> will be reused for ATG UE. </w:t>
      </w:r>
    </w:p>
    <w:tbl>
      <w:tblPr>
        <w:tblStyle w:val="49"/>
        <w:tblW w:w="6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b/>
                <w:sz w:val="18"/>
              </w:rPr>
            </w:pPr>
            <w:r>
              <w:rPr>
                <w:rFonts w:ascii="Arial" w:hAnsi="Arial" w:eastAsia="MS Mincho"/>
                <w:b/>
                <w:sz w:val="18"/>
              </w:rPr>
              <w:br w:type="page"/>
            </w:r>
            <w:r>
              <w:rPr>
                <w:rFonts w:ascii="Arial" w:hAnsi="Arial" w:eastAsia="MS Mincho"/>
                <w:b/>
                <w:sz w:val="18"/>
              </w:rPr>
              <w:t>Parameter</w:t>
            </w:r>
          </w:p>
        </w:tc>
        <w:tc>
          <w:tcPr>
            <w:tcW w:w="1135" w:type="dxa"/>
          </w:tcPr>
          <w:p>
            <w:pPr>
              <w:keepNext/>
              <w:keepLines/>
              <w:spacing w:after="0"/>
              <w:jc w:val="center"/>
              <w:rPr>
                <w:rFonts w:ascii="Arial" w:hAnsi="Arial" w:eastAsia="MS Mincho"/>
                <w:b/>
                <w:sz w:val="18"/>
              </w:rPr>
            </w:pPr>
            <w:r>
              <w:rPr>
                <w:rFonts w:ascii="Arial" w:hAnsi="Arial" w:eastAsia="MS Mincho"/>
                <w:b/>
                <w:sz w:val="18"/>
              </w:rPr>
              <w:t>Unit</w:t>
            </w:r>
          </w:p>
        </w:tc>
        <w:tc>
          <w:tcPr>
            <w:tcW w:w="2406" w:type="dxa"/>
          </w:tcPr>
          <w:p>
            <w:pPr>
              <w:keepNext/>
              <w:keepLines/>
              <w:spacing w:after="0"/>
              <w:jc w:val="center"/>
              <w:rPr>
                <w:rFonts w:ascii="Arial" w:hAnsi="Arial" w:eastAsia="MS Mincho"/>
                <w:b/>
                <w:sz w:val="18"/>
              </w:rPr>
            </w:pPr>
            <w:r>
              <w:rPr>
                <w:rFonts w:ascii="Arial" w:hAnsi="Arial" w:eastAsia="MS Mincho"/>
                <w:b/>
                <w:sz w:val="18"/>
              </w:rPr>
              <w:t>Average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QPSK</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16</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hint="eastAsia" w:ascii="Arial" w:hAnsi="Arial" w:eastAsia="MS Mincho"/>
                <w:sz w:val="18"/>
                <w:lang w:eastAsia="zh-CN"/>
              </w:rPr>
              <w:t>64</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hint="eastAsia" w:ascii="Arial" w:hAnsi="Arial" w:eastAsia="MS Mincho" w:cs="v5.0.0"/>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lang w:eastAsia="zh-CN"/>
              </w:rPr>
            </w:pPr>
            <w:r>
              <w:rPr>
                <w:rFonts w:ascii="Arial" w:hAnsi="Arial" w:eastAsia="MS Mincho"/>
                <w:sz w:val="18"/>
                <w:lang w:eastAsia="zh-CN"/>
              </w:rPr>
              <w:t>256 QAM</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lang w:eastAsia="zh-CN"/>
              </w:rPr>
            </w:pPr>
            <w:r>
              <w:rPr>
                <w:rFonts w:ascii="Arial" w:hAnsi="Arial" w:eastAsia="MS Mincho" w:cs="v5.0.0"/>
                <w:sz w:val="18"/>
                <w:lang w:eastAsia="zh-CN"/>
              </w:rPr>
              <w:t>3.5</w:t>
            </w:r>
          </w:p>
        </w:tc>
      </w:tr>
    </w:tbl>
    <w:p>
      <w:pPr>
        <w:pStyle w:val="5"/>
        <w:spacing w:before="120" w:beforeAutospacing="1" w:after="312" w:afterLines="100"/>
        <w:outlineLvl w:val="3"/>
        <w:rPr>
          <w:lang w:eastAsia="zh-CN"/>
        </w:rPr>
      </w:pPr>
      <w:bookmarkStart w:id="636" w:name="_Toc13829"/>
      <w:bookmarkStart w:id="637" w:name="_Toc20817"/>
      <w:bookmarkStart w:id="638" w:name="_Toc26099"/>
      <w:bookmarkStart w:id="639" w:name="_Toc25916"/>
      <w:r>
        <w:rPr>
          <w:lang w:eastAsia="zh-CN"/>
        </w:rPr>
        <w:t>7.1.2.10 Occupied bandwidth</w:t>
      </w:r>
      <w:bookmarkEnd w:id="636"/>
      <w:bookmarkEnd w:id="637"/>
      <w:bookmarkEnd w:id="638"/>
      <w:bookmarkEnd w:id="639"/>
    </w:p>
    <w:p>
      <w:pPr>
        <w:rPr>
          <w:rFonts w:eastAsia="SimSun"/>
          <w:lang w:eastAsia="zh-CN"/>
        </w:rPr>
      </w:pPr>
      <w:r>
        <w:rPr>
          <w:rFonts w:eastAsia="SimSun"/>
          <w:lang w:eastAsia="zh-CN"/>
        </w:rPr>
        <w:t>The Occupied bandwidth requirement in subclause 6.5.1 of 38.101-1 [4] is applicable for ATG UE operating in FR1.</w:t>
      </w:r>
    </w:p>
    <w:p>
      <w:pPr>
        <w:pStyle w:val="5"/>
        <w:spacing w:before="120" w:beforeAutospacing="1" w:after="312" w:afterLines="100"/>
        <w:outlineLvl w:val="3"/>
        <w:rPr>
          <w:lang w:eastAsia="zh-CN"/>
        </w:rPr>
      </w:pPr>
      <w:bookmarkStart w:id="640" w:name="_Toc16881"/>
      <w:bookmarkStart w:id="641" w:name="_Toc10024"/>
      <w:bookmarkStart w:id="642" w:name="_Toc8732"/>
      <w:bookmarkStart w:id="643" w:name="_Toc22675"/>
      <w:r>
        <w:rPr>
          <w:lang w:eastAsia="zh-CN"/>
        </w:rPr>
        <w:t>7.1.2.11 SEM requirements</w:t>
      </w:r>
      <w:bookmarkEnd w:id="640"/>
      <w:bookmarkEnd w:id="641"/>
      <w:bookmarkEnd w:id="642"/>
      <w:bookmarkEnd w:id="643"/>
    </w:p>
    <w:p>
      <w:pPr>
        <w:rPr>
          <w:rFonts w:eastAsia="SimSun"/>
          <w:lang w:eastAsia="zh-CN"/>
        </w:rPr>
      </w:pPr>
    </w:p>
    <w:p>
      <w:pPr>
        <w:pStyle w:val="5"/>
        <w:spacing w:before="120" w:beforeAutospacing="1" w:after="312" w:afterLines="100"/>
        <w:outlineLvl w:val="3"/>
        <w:rPr>
          <w:lang w:eastAsia="zh-CN"/>
        </w:rPr>
      </w:pPr>
      <w:bookmarkStart w:id="644" w:name="_Toc4103"/>
      <w:bookmarkStart w:id="645" w:name="_Toc7552"/>
      <w:bookmarkStart w:id="646" w:name="_Toc17321"/>
      <w:bookmarkStart w:id="647" w:name="_Toc13923"/>
      <w:r>
        <w:rPr>
          <w:lang w:eastAsia="zh-CN"/>
        </w:rPr>
        <w:t>7.1.2.12 ACLR requirements</w:t>
      </w:r>
      <w:bookmarkEnd w:id="644"/>
      <w:bookmarkEnd w:id="645"/>
      <w:bookmarkEnd w:id="646"/>
      <w:bookmarkEnd w:id="647"/>
    </w:p>
    <w:p>
      <w:pPr>
        <w:rPr>
          <w:rFonts w:eastAsia="SimSun"/>
          <w:color w:val="auto"/>
          <w:lang w:eastAsia="zh-CN"/>
        </w:rPr>
      </w:pPr>
      <w:r>
        <w:rPr>
          <w:rFonts w:eastAsia="SimSun"/>
          <w:color w:val="auto"/>
          <w:szCs w:val="24"/>
          <w:lang w:eastAsia="zh-CN"/>
        </w:rPr>
        <w:t>FR1 PC3 ACLR requirement in 38.101-1 is reused for ATG CPE.</w:t>
      </w:r>
    </w:p>
    <w:p>
      <w:pPr>
        <w:pStyle w:val="5"/>
        <w:spacing w:before="120" w:beforeAutospacing="1" w:after="312" w:afterLines="100"/>
        <w:outlineLvl w:val="3"/>
        <w:rPr>
          <w:lang w:eastAsia="zh-CN"/>
        </w:rPr>
      </w:pPr>
      <w:bookmarkStart w:id="648" w:name="_Toc29136"/>
      <w:bookmarkStart w:id="649" w:name="_Toc25405"/>
      <w:bookmarkStart w:id="650" w:name="_Toc28452"/>
      <w:bookmarkStart w:id="651" w:name="_Toc30408"/>
      <w:r>
        <w:rPr>
          <w:lang w:eastAsia="zh-CN"/>
        </w:rPr>
        <w:t>7.1.2.13 Spurious emission</w:t>
      </w:r>
      <w:bookmarkEnd w:id="648"/>
      <w:bookmarkEnd w:id="649"/>
      <w:bookmarkEnd w:id="650"/>
      <w:bookmarkEnd w:id="651"/>
    </w:p>
    <w:p>
      <w:pPr>
        <w:rPr>
          <w:rFonts w:eastAsia="SimSun"/>
          <w:lang w:eastAsia="zh-CN"/>
        </w:rPr>
      </w:pPr>
      <w:r>
        <w:rPr>
          <w:rFonts w:eastAsia="SimSun"/>
          <w:lang w:eastAsia="zh-CN"/>
        </w:rPr>
        <w:t>The general spurious emission requirement in subclause 6.5.3.1 of 38.101-1 [4] is applicable for ATG UE operating in FR1.</w:t>
      </w:r>
    </w:p>
    <w:p>
      <w:pPr>
        <w:pStyle w:val="5"/>
        <w:spacing w:before="120" w:beforeAutospacing="1" w:after="312" w:afterLines="100"/>
        <w:outlineLvl w:val="3"/>
        <w:rPr>
          <w:lang w:eastAsia="zh-CN"/>
        </w:rPr>
      </w:pPr>
      <w:bookmarkStart w:id="652" w:name="_Toc12810"/>
      <w:bookmarkStart w:id="653" w:name="_Toc22751"/>
      <w:bookmarkStart w:id="654" w:name="_Toc5073"/>
      <w:bookmarkStart w:id="655" w:name="_Toc30008"/>
      <w:r>
        <w:rPr>
          <w:lang w:eastAsia="zh-CN"/>
        </w:rPr>
        <w:t>7.1.2.14 Spurious emissions for UE co-existence</w:t>
      </w:r>
      <w:bookmarkEnd w:id="652"/>
      <w:bookmarkEnd w:id="653"/>
      <w:bookmarkEnd w:id="654"/>
      <w:bookmarkEnd w:id="655"/>
    </w:p>
    <w:p>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pPr>
        <w:pStyle w:val="5"/>
        <w:spacing w:before="120" w:beforeAutospacing="1" w:after="312" w:afterLines="100"/>
        <w:outlineLvl w:val="3"/>
        <w:rPr>
          <w:lang w:eastAsia="zh-CN"/>
        </w:rPr>
      </w:pPr>
      <w:bookmarkStart w:id="656" w:name="_Toc7400"/>
      <w:bookmarkStart w:id="657" w:name="_Toc1675"/>
      <w:bookmarkStart w:id="658" w:name="_Toc16413"/>
      <w:bookmarkStart w:id="659" w:name="_Toc23918"/>
      <w:r>
        <w:rPr>
          <w:lang w:eastAsia="zh-CN"/>
        </w:rPr>
        <w:t>7.1.2.15 Transmit intermodulation</w:t>
      </w:r>
      <w:bookmarkEnd w:id="656"/>
      <w:bookmarkEnd w:id="657"/>
      <w:bookmarkEnd w:id="658"/>
      <w:bookmarkEnd w:id="659"/>
    </w:p>
    <w:p>
      <w:pPr>
        <w:rPr>
          <w:lang w:eastAsia="zh-CN"/>
        </w:rPr>
      </w:pPr>
    </w:p>
    <w:p>
      <w:pPr>
        <w:pStyle w:val="4"/>
        <w:rPr>
          <w:lang w:eastAsia="zh-CN"/>
        </w:rPr>
      </w:pPr>
      <w:bookmarkStart w:id="660" w:name="_Toc18903"/>
      <w:bookmarkStart w:id="661" w:name="_Toc5838"/>
      <w:bookmarkStart w:id="662" w:name="_Toc14699"/>
      <w:bookmarkStart w:id="663" w:name="_Toc133498158"/>
      <w:bookmarkStart w:id="664" w:name="_Toc9071"/>
      <w:bookmarkStart w:id="665" w:name="_Toc613"/>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660"/>
      <w:bookmarkEnd w:id="661"/>
      <w:bookmarkEnd w:id="662"/>
      <w:bookmarkEnd w:id="663"/>
      <w:bookmarkEnd w:id="664"/>
      <w:bookmarkEnd w:id="665"/>
    </w:p>
    <w:p>
      <w:pPr>
        <w:pStyle w:val="5"/>
        <w:keepNext/>
        <w:keepLines/>
        <w:spacing w:before="120"/>
        <w:outlineLvl w:val="3"/>
        <w:rPr>
          <w:lang w:val="en-US" w:eastAsia="zh-CN"/>
        </w:rPr>
      </w:pPr>
      <w:bookmarkStart w:id="666" w:name="_Toc8668"/>
      <w:bookmarkStart w:id="667" w:name="_Toc32499"/>
      <w:bookmarkStart w:id="668" w:name="_Toc12222"/>
      <w:bookmarkStart w:id="669" w:name="_Toc27145"/>
      <w:r>
        <w:rPr>
          <w:lang w:val="en-US" w:eastAsia="zh-CN"/>
        </w:rPr>
        <w:t>7.1.3.1</w:t>
      </w:r>
      <w:r>
        <w:rPr>
          <w:lang w:val="en-US" w:eastAsia="zh-CN"/>
        </w:rPr>
        <w:tab/>
      </w:r>
      <w:r>
        <w:rPr>
          <w:lang w:val="en-US" w:eastAsia="zh-CN"/>
        </w:rPr>
        <w:t>General</w:t>
      </w:r>
      <w:bookmarkEnd w:id="666"/>
      <w:bookmarkEnd w:id="667"/>
      <w:bookmarkEnd w:id="668"/>
      <w:bookmarkEnd w:id="669"/>
    </w:p>
    <w:p>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pPr>
        <w:pStyle w:val="5"/>
        <w:keepNext/>
        <w:keepLines/>
        <w:spacing w:before="120"/>
        <w:outlineLvl w:val="3"/>
        <w:rPr>
          <w:lang w:val="en-US" w:eastAsia="zh-CN"/>
        </w:rPr>
      </w:pPr>
      <w:bookmarkStart w:id="670" w:name="_Toc2892"/>
      <w:bookmarkStart w:id="671" w:name="_Toc3341"/>
      <w:bookmarkStart w:id="672" w:name="_Toc17678"/>
      <w:bookmarkStart w:id="673" w:name="_Toc24451"/>
      <w:r>
        <w:rPr>
          <w:lang w:val="en-US" w:eastAsia="zh-CN"/>
        </w:rPr>
        <w:t>7.1.3.2</w:t>
      </w:r>
      <w:r>
        <w:rPr>
          <w:lang w:val="en-US" w:eastAsia="zh-CN"/>
        </w:rPr>
        <w:tab/>
      </w:r>
      <w:r>
        <w:rPr>
          <w:lang w:val="en-US" w:eastAsia="zh-CN"/>
        </w:rPr>
        <w:t>Diversity characteristics</w:t>
      </w:r>
      <w:bookmarkEnd w:id="670"/>
      <w:bookmarkEnd w:id="671"/>
      <w:bookmarkEnd w:id="672"/>
      <w:bookmarkEnd w:id="673"/>
    </w:p>
    <w:p>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pPr>
        <w:pStyle w:val="5"/>
        <w:keepNext/>
        <w:keepLines/>
        <w:spacing w:before="120"/>
        <w:outlineLvl w:val="3"/>
        <w:rPr>
          <w:lang w:val="en-US" w:eastAsia="zh-CN"/>
        </w:rPr>
      </w:pPr>
      <w:bookmarkStart w:id="674" w:name="_Toc28043"/>
      <w:bookmarkStart w:id="675" w:name="_Toc28375"/>
      <w:bookmarkStart w:id="676" w:name="_Toc11756"/>
      <w:bookmarkStart w:id="677" w:name="_Toc15067"/>
      <w:r>
        <w:rPr>
          <w:lang w:val="en-US" w:eastAsia="zh-CN"/>
        </w:rPr>
        <w:t>7.1.3.3</w:t>
      </w:r>
      <w:r>
        <w:rPr>
          <w:lang w:val="en-US" w:eastAsia="zh-CN"/>
        </w:rPr>
        <w:tab/>
      </w:r>
      <w:r>
        <w:rPr>
          <w:lang w:val="en-US" w:eastAsia="zh-CN"/>
        </w:rPr>
        <w:t>REFSENS requirements</w:t>
      </w:r>
      <w:bookmarkEnd w:id="674"/>
      <w:bookmarkEnd w:id="675"/>
      <w:bookmarkEnd w:id="676"/>
      <w:bookmarkEnd w:id="677"/>
    </w:p>
    <w:p>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sz w:val="22"/>
          <w:szCs w:val="22"/>
          <w:lang w:val="en-US" w:eastAsia="zh-CN"/>
        </w:rPr>
        <w:t>3</w:t>
      </w:r>
      <w:r>
        <w:rPr>
          <w:sz w:val="22"/>
          <w:szCs w:val="22"/>
          <w:lang w:val="en-US" w:eastAsia="zh-CN"/>
        </w:rPr>
        <w:t>-1</w:t>
      </w:r>
      <w:r>
        <w:rPr>
          <w:rFonts w:hint="eastAsia"/>
          <w:sz w:val="22"/>
          <w:szCs w:val="22"/>
          <w:lang w:val="en-US" w:eastAsia="zh-CN"/>
        </w:rPr>
        <w:t>a</w:t>
      </w:r>
      <w:r>
        <w:rPr>
          <w:sz w:val="22"/>
          <w:szCs w:val="22"/>
          <w:lang w:val="en-US" w:eastAsia="zh-CN"/>
        </w:rPr>
        <w:t>, Table 7.1.3.</w:t>
      </w:r>
      <w:r>
        <w:rPr>
          <w:rFonts w:hint="eastAsia"/>
          <w:sz w:val="22"/>
          <w:szCs w:val="22"/>
          <w:lang w:val="en-US" w:eastAsia="zh-CN"/>
        </w:rPr>
        <w:t>3</w:t>
      </w:r>
      <w:r>
        <w:rPr>
          <w:sz w:val="22"/>
          <w:szCs w:val="22"/>
          <w:lang w:val="en-US" w:eastAsia="zh-CN"/>
        </w:rPr>
        <w:t>-</w:t>
      </w:r>
      <w:r>
        <w:rPr>
          <w:rFonts w:hint="eastAsia"/>
          <w:sz w:val="22"/>
          <w:szCs w:val="22"/>
          <w:lang w:val="en-US" w:eastAsia="zh-CN"/>
        </w:rPr>
        <w:t>1b</w:t>
      </w:r>
      <w:r>
        <w:rPr>
          <w:sz w:val="22"/>
          <w:szCs w:val="22"/>
          <w:lang w:val="en-US" w:eastAsia="zh-CN"/>
        </w:rPr>
        <w:t xml:space="preserve"> and Table 7.1.3.2.2-3</w:t>
      </w:r>
    </w:p>
    <w:p>
      <w:pPr>
        <w:keepNext/>
        <w:keepLines/>
        <w:spacing w:before="60"/>
        <w:jc w:val="center"/>
        <w:rPr>
          <w:rFonts w:ascii="Arial" w:hAnsi="Arial"/>
          <w:b/>
        </w:rPr>
      </w:pPr>
      <w:r>
        <w:rPr>
          <w:rFonts w:ascii="Arial" w:hAnsi="Arial"/>
          <w:b/>
        </w:rPr>
        <w:t>Table 7.1.3.</w:t>
      </w:r>
      <w:r>
        <w:rPr>
          <w:rFonts w:hint="eastAsia" w:ascii="Arial" w:hAnsi="Arial" w:eastAsia="SimSun"/>
          <w:b/>
          <w:lang w:val="en-US" w:eastAsia="zh-CN"/>
        </w:rPr>
        <w:t>3</w:t>
      </w:r>
      <w:r>
        <w:rPr>
          <w:rFonts w:ascii="Arial" w:hAnsi="Arial"/>
          <w:b/>
        </w:rPr>
        <w:t>-1</w:t>
      </w:r>
      <w:r>
        <w:rPr>
          <w:rFonts w:hint="eastAsia" w:ascii="Arial" w:hAnsi="Arial" w:eastAsia="SimSun"/>
          <w:b/>
          <w:lang w:val="en-US" w:eastAsia="zh-CN"/>
        </w:rPr>
        <w:t>a</w:t>
      </w:r>
      <w:r>
        <w:rPr>
          <w:rFonts w:ascii="Arial" w:hAnsi="Arial"/>
          <w:b/>
        </w:rPr>
        <w:t>: Two antenna port reference sensitivity QPSK REFSENS for FDD bands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4"/>
        <w:gridCol w:w="665"/>
        <w:gridCol w:w="784"/>
        <w:gridCol w:w="783"/>
        <w:gridCol w:w="784"/>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5045" w:type="dxa"/>
            <w:gridSpan w:val="6"/>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 / SCS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1164" w:type="dxa"/>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w:t>
            </w:r>
          </w:p>
        </w:tc>
        <w:tc>
          <w:tcPr>
            <w:tcW w:w="665" w:type="dxa"/>
            <w:vAlign w:val="center"/>
          </w:tcPr>
          <w:p>
            <w:pPr>
              <w:keepNext/>
              <w:keepLines/>
              <w:spacing w:after="0"/>
              <w:jc w:val="center"/>
              <w:rPr>
                <w:rFonts w:ascii="Arial" w:hAnsi="Arial" w:eastAsia="PMingLiU"/>
                <w:b/>
                <w:sz w:val="18"/>
                <w:lang w:val="en-US"/>
              </w:rPr>
            </w:pPr>
            <w:r>
              <w:rPr>
                <w:rFonts w:ascii="Arial" w:hAnsi="Arial" w:eastAsia="PMingLiU"/>
                <w:b/>
                <w:sz w:val="18"/>
                <w:lang w:val="en-US"/>
              </w:rPr>
              <w:t>SCS kHz</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3"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861"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20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restart"/>
            <w:shd w:val="clear" w:color="auto" w:fill="auto"/>
            <w:vAlign w:val="center"/>
          </w:tcPr>
          <w:p>
            <w:pPr>
              <w:keepNext/>
              <w:keepLines/>
              <w:spacing w:after="0"/>
              <w:jc w:val="center"/>
              <w:rPr>
                <w:rFonts w:ascii="Arial" w:hAnsi="Arial" w:eastAsia="PMingLiU"/>
                <w:sz w:val="18"/>
                <w:lang w:val="en-US"/>
              </w:rPr>
            </w:pPr>
            <w:r>
              <w:rPr>
                <w:rFonts w:ascii="Arial" w:hAnsi="Arial" w:eastAsia="PMingLiU"/>
                <w:sz w:val="18"/>
                <w:lang w:val="en-US"/>
              </w:rPr>
              <w:t>n1</w:t>
            </w: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15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-100.0</w:t>
            </w: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-96.8</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-95.0</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30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-97.1</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-95.1</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60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-95.4</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w:t>
      </w:r>
      <w:r>
        <w:rPr>
          <w:rFonts w:hint="eastAsia" w:ascii="Arial" w:hAnsi="Arial" w:eastAsia="SimSun"/>
          <w:b/>
          <w:lang w:val="en-US" w:eastAsia="zh-CN"/>
        </w:rPr>
        <w:t>3</w:t>
      </w:r>
      <w:r>
        <w:rPr>
          <w:rFonts w:ascii="Arial" w:hAnsi="Arial"/>
          <w:b/>
        </w:rPr>
        <w:t>-</w:t>
      </w:r>
      <w:r>
        <w:rPr>
          <w:rFonts w:hint="eastAsia" w:ascii="Arial" w:hAnsi="Arial" w:eastAsia="SimSun"/>
          <w:b/>
          <w:lang w:val="en-US" w:eastAsia="zh-CN"/>
        </w:rPr>
        <w:t>1b</w:t>
      </w:r>
      <w:r>
        <w:rPr>
          <w:rFonts w:ascii="Arial" w:hAnsi="Arial"/>
          <w:b/>
        </w:rPr>
        <w:t>: Two antenna port reference sensitivity QPSK REFSENS for TDD bands</w:t>
      </w:r>
    </w:p>
    <w:tbl>
      <w:tblPr>
        <w:tblStyle w:val="138"/>
        <w:tblW w:w="86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587"/>
        <w:gridCol w:w="3870"/>
        <w:gridCol w:w="2275"/>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48" w:type="dxa"/>
            <w:gridSpan w:val="5"/>
            <w:vAlign w:val="center"/>
          </w:tcPr>
          <w:p>
            <w:pPr>
              <w:spacing w:after="0" w:line="259" w:lineRule="auto"/>
              <w:jc w:val="center"/>
              <w:rPr>
                <w:rFonts w:ascii="Arial" w:hAnsi="Arial" w:cs="Arial"/>
                <w:b/>
                <w:bCs/>
                <w:sz w:val="18"/>
                <w:szCs w:val="18"/>
                <w:lang w:val="en-US" w:eastAsia="zh-TW"/>
              </w:rPr>
            </w:pPr>
            <w:bookmarkStart w:id="678" w:name="_Hlk78840377"/>
            <w:r>
              <w:rPr>
                <w:rFonts w:ascii="Arial" w:hAnsi="Arial" w:cs="Arial"/>
                <w:b/>
                <w:bCs/>
                <w:sz w:val="18"/>
                <w:szCs w:val="18"/>
                <w:lang w:val="en-US" w:eastAsia="zh-TW"/>
              </w:rPr>
              <w:t>Operating band / SCS / Channel bandwidth / REFSENS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eastAsia="PMingLiU" w:cs="Arial"/>
                <w:b/>
                <w:bCs/>
                <w:sz w:val="18"/>
                <w:szCs w:val="18"/>
                <w:lang w:eastAsia="zh-CN"/>
              </w:rPr>
            </w:pPr>
            <w:r>
              <w:rPr>
                <w:rFonts w:ascii="Arial" w:hAnsi="Arial"/>
                <w:sz w:val="18"/>
                <w:lang w:eastAsia="zh-TW"/>
              </w:rPr>
              <w:t>n39</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sz w:val="18"/>
                <w:lang w:eastAsia="zh-TW"/>
              </w:rPr>
            </w:pPr>
            <w:r>
              <w:rPr>
                <w:rFonts w:ascii="Arial" w:hAnsi="Arial"/>
                <w:sz w:val="18"/>
                <w:lang w:eastAsia="zh-TW"/>
              </w:rPr>
              <w:t>n78</w:t>
            </w: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bookmarkEnd w:id="678"/>
    </w:tbl>
    <w:p>
      <w:pPr>
        <w:spacing w:after="160" w:line="259" w:lineRule="auto"/>
        <w:rPr>
          <w:rFonts w:ascii="Calibri" w:hAnsi="Calibri"/>
          <w:sz w:val="22"/>
          <w:szCs w:val="22"/>
          <w:lang w:val="en-US" w:eastAsia="zh-CN"/>
        </w:rPr>
      </w:pPr>
    </w:p>
    <w:p>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-1a and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-1b shall be modified by the amount given in ΔRIB,4R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-2 for the applicable operating bands.</w:t>
      </w:r>
    </w:p>
    <w:p>
      <w:pPr>
        <w:keepNext/>
        <w:keepLines/>
        <w:spacing w:before="60"/>
        <w:jc w:val="center"/>
        <w:rPr>
          <w:rFonts w:ascii="Arial" w:hAnsi="Arial"/>
          <w:b/>
          <w:bCs/>
          <w:vertAlign w:val="subscript"/>
        </w:rPr>
      </w:pPr>
      <w:r>
        <w:rPr>
          <w:rFonts w:ascii="Arial" w:hAnsi="Arial"/>
          <w:b/>
        </w:rPr>
        <w:t>Table 7.</w:t>
      </w:r>
      <w:r>
        <w:rPr>
          <w:rFonts w:hint="eastAsia" w:ascii="Arial" w:hAnsi="Arial" w:eastAsia="SimSun"/>
          <w:b/>
          <w:lang w:val="en-US" w:eastAsia="zh-CN"/>
        </w:rPr>
        <w:t>1.</w:t>
      </w:r>
      <w:r>
        <w:rPr>
          <w:rFonts w:ascii="Arial" w:hAnsi="Arial"/>
          <w:b/>
        </w:rPr>
        <w:t>3.</w:t>
      </w:r>
      <w:r>
        <w:rPr>
          <w:rFonts w:hint="eastAsia" w:ascii="Arial" w:hAnsi="Arial" w:eastAsia="SimSun"/>
          <w:b/>
          <w:lang w:val="en-US" w:eastAsia="zh-CN"/>
        </w:rPr>
        <w:t>3</w:t>
      </w:r>
      <w:r>
        <w:rPr>
          <w:rFonts w:ascii="Arial" w:hAnsi="Arial"/>
          <w:b/>
        </w:rPr>
        <w:t>-2: Four antenna port reference sensitivity allowance ΔR</w:t>
      </w:r>
      <w:r>
        <w:rPr>
          <w:rFonts w:ascii="Arial" w:hAnsi="Arial"/>
          <w:b/>
          <w:bCs/>
          <w:vertAlign w:val="subscript"/>
        </w:rPr>
        <w:t>IB,4R</w:t>
      </w:r>
    </w:p>
    <w:tbl>
      <w:tblPr>
        <w:tblStyle w:val="49"/>
        <w:tblW w:w="5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9"/>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tcPr>
          <w:p>
            <w:pPr>
              <w:keepNext/>
              <w:keepLines/>
              <w:spacing w:after="0"/>
              <w:jc w:val="center"/>
              <w:rPr>
                <w:rFonts w:ascii="Arial" w:hAnsi="Arial"/>
                <w:b/>
                <w:sz w:val="18"/>
              </w:rPr>
            </w:pPr>
            <w:r>
              <w:rPr>
                <w:rFonts w:ascii="Arial" w:hAnsi="Arial"/>
                <w:b/>
                <w:sz w:val="18"/>
              </w:rPr>
              <w:t>Operating band</w:t>
            </w:r>
          </w:p>
        </w:tc>
        <w:tc>
          <w:tcPr>
            <w:tcW w:w="2970" w:type="dxa"/>
          </w:tcPr>
          <w:p>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sz w:val="18"/>
              </w:rPr>
            </w:pPr>
            <w:r>
              <w:rPr>
                <w:rFonts w:ascii="Arial" w:hAnsi="Arial"/>
                <w:sz w:val="18"/>
              </w:rPr>
              <w:t xml:space="preserve">n1, </w:t>
            </w:r>
            <w:r>
              <w:rPr>
                <w:rFonts w:ascii="Arial" w:hAnsi="Arial" w:eastAsia="Calibri"/>
                <w:sz w:val="18"/>
              </w:rPr>
              <w:t>n39</w:t>
            </w:r>
          </w:p>
        </w:tc>
        <w:tc>
          <w:tcPr>
            <w:tcW w:w="2970" w:type="dxa"/>
            <w:vAlign w:val="center"/>
          </w:tcPr>
          <w:p>
            <w:pPr>
              <w:keepNext/>
              <w:keepLines/>
              <w:spacing w:after="0"/>
              <w:jc w:val="center"/>
              <w:rPr>
                <w:rFonts w:ascii="Arial" w:hAnsi="Arial"/>
                <w:sz w:val="18"/>
              </w:rPr>
            </w:pPr>
            <w:r>
              <w:rPr>
                <w:rFonts w:ascii="Arial" w:hAnsi="Arial"/>
                <w:sz w:val="18"/>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eastAsia="Calibri"/>
                <w:sz w:val="18"/>
              </w:rPr>
            </w:pPr>
            <w:r>
              <w:rPr>
                <w:rFonts w:ascii="Arial" w:hAnsi="Arial" w:eastAsia="Calibri"/>
                <w:sz w:val="18"/>
              </w:rPr>
              <w:t>n78, n79</w:t>
            </w:r>
          </w:p>
        </w:tc>
        <w:tc>
          <w:tcPr>
            <w:tcW w:w="2970" w:type="dxa"/>
            <w:vAlign w:val="center"/>
          </w:tcPr>
          <w:p>
            <w:pPr>
              <w:keepNext/>
              <w:keepLines/>
              <w:spacing w:after="0"/>
              <w:jc w:val="center"/>
              <w:rPr>
                <w:rFonts w:ascii="Arial" w:hAnsi="Arial"/>
                <w:sz w:val="18"/>
              </w:rPr>
            </w:pPr>
            <w:r>
              <w:rPr>
                <w:rFonts w:ascii="Arial" w:hAnsi="Arial"/>
                <w:sz w:val="18"/>
              </w:rPr>
              <w:t>-2.2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w:t>
      </w:r>
      <w:r>
        <w:rPr>
          <w:rFonts w:hint="eastAsia" w:ascii="Arial" w:hAnsi="Arial" w:eastAsia="SimSun"/>
          <w:b/>
          <w:lang w:val="en-US" w:eastAsia="zh-CN"/>
        </w:rPr>
        <w:t>3</w:t>
      </w:r>
      <w:r>
        <w:rPr>
          <w:rFonts w:ascii="Arial" w:hAnsi="Arial"/>
          <w:b/>
        </w:rPr>
        <w:t>-3: Uplink configuration for reference sensitivity</w:t>
      </w:r>
    </w:p>
    <w:tbl>
      <w:tblPr>
        <w:tblStyle w:val="49"/>
        <w:tblW w:w="56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619"/>
        <w:gridCol w:w="469"/>
        <w:gridCol w:w="509"/>
        <w:gridCol w:w="509"/>
        <w:gridCol w:w="615"/>
        <w:gridCol w:w="615"/>
        <w:gridCol w:w="615"/>
        <w:gridCol w:w="489"/>
        <w:gridCol w:w="615"/>
        <w:gridCol w:w="615"/>
        <w:gridCol w:w="615"/>
        <w:gridCol w:w="544"/>
        <w:gridCol w:w="544"/>
        <w:gridCol w:w="544"/>
        <w:gridCol w:w="544"/>
        <w:gridCol w:w="545"/>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00" w:type="pct"/>
            <w:gridSpan w:val="18"/>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Operating band / SCS (kHz) / Channel bandwidth (MHz) /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8"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Operating Band</w:t>
            </w:r>
          </w:p>
        </w:tc>
        <w:tc>
          <w:tcPr>
            <w:tcW w:w="280" w:type="pct"/>
            <w:vAlign w:val="center"/>
          </w:tcPr>
          <w:p>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25</w:t>
            </w:r>
          </w:p>
        </w:tc>
        <w:tc>
          <w:tcPr>
            <w:tcW w:w="278" w:type="pct"/>
            <w:vAlign w:val="center"/>
          </w:tcPr>
          <w:p>
            <w:pPr>
              <w:keepNext/>
              <w:keepLines/>
              <w:spacing w:after="0"/>
              <w:jc w:val="center"/>
              <w:rPr>
                <w:rFonts w:ascii="Arial" w:hAnsi="Arial"/>
                <w:b/>
                <w:sz w:val="18"/>
              </w:rPr>
            </w:pPr>
            <w:r>
              <w:rPr>
                <w:rFonts w:ascii="Arial" w:hAnsi="Arial"/>
                <w:b/>
                <w:sz w:val="18"/>
              </w:rPr>
              <w:t>30</w:t>
            </w:r>
          </w:p>
        </w:tc>
        <w:tc>
          <w:tcPr>
            <w:tcW w:w="221" w:type="pct"/>
            <w:vAlign w:val="center"/>
          </w:tcPr>
          <w:p>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40</w:t>
            </w:r>
          </w:p>
        </w:tc>
        <w:tc>
          <w:tcPr>
            <w:tcW w:w="278" w:type="pct"/>
            <w:vAlign w:val="center"/>
          </w:tcPr>
          <w:p>
            <w:pPr>
              <w:keepNext/>
              <w:keepLines/>
              <w:spacing w:after="0"/>
              <w:jc w:val="center"/>
              <w:rPr>
                <w:rFonts w:ascii="Arial" w:hAnsi="Arial"/>
                <w:b/>
                <w:sz w:val="18"/>
              </w:rPr>
            </w:pPr>
            <w:r>
              <w:rPr>
                <w:rFonts w:ascii="Arial" w:hAnsi="Arial"/>
                <w:b/>
                <w:sz w:val="18"/>
              </w:rPr>
              <w:t>45</w:t>
            </w:r>
          </w:p>
        </w:tc>
        <w:tc>
          <w:tcPr>
            <w:tcW w:w="278" w:type="pct"/>
            <w:vAlign w:val="center"/>
          </w:tcPr>
          <w:p>
            <w:pPr>
              <w:keepNext/>
              <w:keepLines/>
              <w:spacing w:after="0"/>
              <w:jc w:val="center"/>
              <w:rPr>
                <w:rFonts w:ascii="Arial" w:hAnsi="Arial"/>
                <w:b/>
                <w:sz w:val="18"/>
              </w:rPr>
            </w:pPr>
            <w:r>
              <w:rPr>
                <w:rFonts w:ascii="Arial" w:hAnsi="Arial"/>
                <w:b/>
                <w:sz w:val="18"/>
              </w:rPr>
              <w:t>50</w:t>
            </w:r>
          </w:p>
        </w:tc>
        <w:tc>
          <w:tcPr>
            <w:tcW w:w="246" w:type="pct"/>
            <w:vAlign w:val="center"/>
          </w:tcPr>
          <w:p>
            <w:pPr>
              <w:keepNext/>
              <w:keepLines/>
              <w:spacing w:after="0"/>
              <w:jc w:val="center"/>
              <w:rPr>
                <w:rFonts w:ascii="Arial" w:hAnsi="Arial"/>
                <w:b/>
                <w:sz w:val="18"/>
              </w:rPr>
            </w:pPr>
            <w:r>
              <w:rPr>
                <w:rFonts w:ascii="Arial" w:hAnsi="Arial"/>
                <w:b/>
                <w:sz w:val="18"/>
              </w:rPr>
              <w:t>60</w:t>
            </w:r>
          </w:p>
        </w:tc>
        <w:tc>
          <w:tcPr>
            <w:tcW w:w="246" w:type="pct"/>
            <w:vAlign w:val="center"/>
          </w:tcPr>
          <w:p>
            <w:pPr>
              <w:keepNext/>
              <w:keepLines/>
              <w:spacing w:after="0"/>
              <w:jc w:val="center"/>
              <w:rPr>
                <w:rFonts w:ascii="Arial" w:hAnsi="Arial"/>
                <w:b/>
                <w:sz w:val="18"/>
              </w:rPr>
            </w:pPr>
            <w:r>
              <w:rPr>
                <w:rFonts w:ascii="Arial" w:hAnsi="Arial"/>
                <w:b/>
                <w:sz w:val="18"/>
              </w:rPr>
              <w:t>70</w:t>
            </w:r>
          </w:p>
        </w:tc>
        <w:tc>
          <w:tcPr>
            <w:tcW w:w="246" w:type="pct"/>
            <w:vAlign w:val="center"/>
          </w:tcPr>
          <w:p>
            <w:pPr>
              <w:keepNext/>
              <w:keepLines/>
              <w:spacing w:after="0"/>
              <w:jc w:val="center"/>
              <w:rPr>
                <w:rFonts w:ascii="Arial" w:hAnsi="Arial"/>
                <w:b/>
                <w:sz w:val="18"/>
              </w:rPr>
            </w:pPr>
            <w:r>
              <w:rPr>
                <w:rFonts w:ascii="Arial" w:hAnsi="Arial"/>
                <w:b/>
                <w:sz w:val="18"/>
              </w:rPr>
              <w:t>80</w:t>
            </w:r>
          </w:p>
        </w:tc>
        <w:tc>
          <w:tcPr>
            <w:tcW w:w="246" w:type="pct"/>
            <w:vAlign w:val="center"/>
          </w:tcPr>
          <w:p>
            <w:pPr>
              <w:keepNext/>
              <w:keepLines/>
              <w:spacing w:after="0"/>
              <w:jc w:val="center"/>
              <w:rPr>
                <w:rFonts w:ascii="Arial" w:hAnsi="Arial"/>
                <w:b/>
                <w:sz w:val="18"/>
              </w:rPr>
            </w:pPr>
            <w:r>
              <w:rPr>
                <w:rFonts w:ascii="Arial" w:hAnsi="Arial"/>
                <w:b/>
                <w:sz w:val="18"/>
              </w:rPr>
              <w:t>90</w:t>
            </w:r>
          </w:p>
        </w:tc>
        <w:tc>
          <w:tcPr>
            <w:tcW w:w="246" w:type="pct"/>
            <w:vAlign w:val="center"/>
          </w:tcPr>
          <w:p>
            <w:pPr>
              <w:keepNext/>
              <w:keepLines/>
              <w:spacing w:after="0"/>
              <w:jc w:val="center"/>
              <w:rPr>
                <w:rFonts w:ascii="Arial" w:hAnsi="Arial"/>
                <w:b/>
                <w:sz w:val="18"/>
              </w:rPr>
            </w:pPr>
            <w:r>
              <w:rPr>
                <w:rFonts w:ascii="Arial" w:hAnsi="Arial"/>
                <w:b/>
                <w:sz w:val="18"/>
              </w:rPr>
              <w:t>100</w:t>
            </w:r>
          </w:p>
        </w:tc>
        <w:tc>
          <w:tcPr>
            <w:tcW w:w="417"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shd w:val="clear" w:color="auto" w:fill="auto"/>
          </w:tcPr>
          <w:p>
            <w:pPr>
              <w:keepNext/>
              <w:keepLines/>
              <w:spacing w:after="0"/>
              <w:jc w:val="center"/>
              <w:rPr>
                <w:rFonts w:ascii="Arial" w:hAnsi="Arial"/>
                <w:sz w:val="18"/>
              </w:rPr>
            </w:pPr>
            <w:r>
              <w:rPr>
                <w:rFonts w:hint="eastAsia" w:ascii="Arial" w:hAnsi="Arial"/>
                <w:sz w:val="18"/>
                <w:lang w:eastAsia="zh-CN"/>
              </w:rPr>
              <w:t>n1</w:t>
            </w:r>
          </w:p>
        </w:tc>
        <w:tc>
          <w:tcPr>
            <w:tcW w:w="280" w:type="pct"/>
          </w:tcPr>
          <w:p>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restart"/>
            <w:shd w:val="clear" w:color="auto" w:fill="auto"/>
          </w:tcPr>
          <w:p>
            <w:pPr>
              <w:keepNext/>
              <w:keepLines/>
              <w:spacing w:after="0"/>
              <w:jc w:val="center"/>
              <w:rPr>
                <w:rFonts w:ascii="Arial" w:hAnsi="Arial"/>
                <w:sz w:val="18"/>
              </w:rPr>
            </w:pPr>
            <w:r>
              <w:rPr>
                <w:rFonts w:ascii="Arial" w:hAnsi="Arial"/>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bottom w:val="single" w:color="auto" w:sz="4" w:space="0"/>
            </w:tcBorders>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18</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tcBorders>
              <w:bottom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n39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lang w:val="en-US" w:eastAsia="zh-CN"/>
              </w:rPr>
              <w:t>25</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75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val="en-US" w:eastAsia="zh-CN"/>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36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eastAsia="Malgun Gothic"/>
                <w:sz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eastAsia="zh-CN"/>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rPr>
              <w:t>5</w:t>
            </w:r>
            <w:r>
              <w:rPr>
                <w:rFonts w:ascii="Arial" w:hAnsi="Arial" w:eastAsia="Malgun Gothic"/>
                <w:sz w:val="18"/>
                <w:lang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n78</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7</w:t>
            </w:r>
            <w:r>
              <w:rPr>
                <w:rFonts w:ascii="Arial" w:hAnsi="Arial" w:cs="Arial"/>
                <w:sz w:val="18"/>
                <w:szCs w:val="18"/>
              </w:rPr>
              <w:t>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10</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3</w:t>
            </w:r>
            <w:r>
              <w:rPr>
                <w:rFonts w:ascii="Arial" w:hAnsi="Arial" w:cs="Arial"/>
                <w:sz w:val="18"/>
                <w:szCs w:val="18"/>
              </w:rPr>
              <w:t>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r>
              <w:rPr>
                <w:rFonts w:ascii="Arial" w:hAnsi="Arial"/>
                <w:sz w:val="18"/>
              </w:rPr>
              <w:t>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21</w:t>
            </w:r>
            <w:r>
              <w:rPr>
                <w:rFonts w:ascii="Arial" w:hAnsi="Arial"/>
                <w:sz w:val="18"/>
              </w:rPr>
              <w:t>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w:t>
            </w:r>
            <w:r>
              <w:rPr>
                <w:rFonts w:ascii="Arial" w:hAnsi="Arial"/>
                <w:sz w:val="18"/>
              </w:rPr>
              <w:t>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hint="eastAsia" w:ascii="Arial" w:hAnsi="Arial"/>
                <w:sz w:val="18"/>
                <w:lang w:val="en-US" w:eastAsia="zh-CN"/>
              </w:rPr>
              <w:t>5</w:t>
            </w:r>
            <w:r>
              <w:rPr>
                <w:rFonts w:ascii="Arial" w:hAnsi="Arial"/>
                <w:sz w:val="18"/>
                <w:lang w:val="en-US"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6</w:t>
            </w:r>
            <w:r>
              <w:rPr>
                <w:rFonts w:ascii="Arial" w:hAnsi="Arial"/>
                <w:sz w:val="18"/>
              </w:rPr>
              <w:t>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7</w:t>
            </w:r>
            <w:r>
              <w:rPr>
                <w:rFonts w:ascii="Arial" w:hAnsi="Arial"/>
                <w:sz w:val="18"/>
              </w:rPr>
              <w:t>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10</w:t>
            </w:r>
            <w:r>
              <w:rPr>
                <w:rFonts w:ascii="Arial" w:hAnsi="Arial"/>
                <w:sz w:val="18"/>
              </w:rPr>
              <w:t>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216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75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bl>
    <w:p/>
    <w:p>
      <w:pPr>
        <w:pStyle w:val="5"/>
        <w:spacing w:after="0"/>
        <w:ind w:left="0" w:firstLine="0"/>
      </w:pPr>
      <w:bookmarkStart w:id="679" w:name="_Toc133498159"/>
      <w:bookmarkStart w:id="680" w:name="_Toc23473"/>
      <w:bookmarkStart w:id="681" w:name="_Toc23157"/>
      <w:bookmarkStart w:id="682" w:name="_Toc24663"/>
      <w:bookmarkStart w:id="683" w:name="_Toc863"/>
      <w:bookmarkStart w:id="684" w:name="_Toc5289"/>
      <w:r>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679"/>
      <w:bookmarkEnd w:id="680"/>
      <w:bookmarkEnd w:id="681"/>
      <w:bookmarkEnd w:id="682"/>
      <w:bookmarkEnd w:id="683"/>
      <w:bookmarkEnd w:id="684"/>
    </w:p>
    <w:p>
      <w:pPr>
        <w:jc w:val="both"/>
        <w:rPr>
          <w:rFonts w:eastAsia="SimSun"/>
          <w:highlight w:val="none"/>
          <w:lang w:val="en-US" w:eastAsia="zh-CN"/>
        </w:rPr>
      </w:pPr>
      <w:r>
        <w:rPr>
          <w:rFonts w:eastAsia="SimSun"/>
          <w:highlight w:val="none"/>
          <w:lang w:eastAsia="zh-CN"/>
        </w:rPr>
        <w:t xml:space="preserve">The calculation and results for maximum input level are listed in Table </w:t>
      </w:r>
      <w:r>
        <w:rPr>
          <w:highlight w:val="none"/>
        </w:rPr>
        <w:t>7.1.3.4-1</w:t>
      </w:r>
      <w:r>
        <w:rPr>
          <w:rFonts w:eastAsia="SimSun"/>
          <w:highlight w:val="none"/>
          <w:lang w:eastAsia="zh-CN"/>
        </w:rPr>
        <w:t>. The maximum input level is a compromise of the theoretical worst-case which assumes the 5 dBi UE element gain under the condition that the ATG UE antenna and BS antenna are not directly pointing to each other.</w:t>
      </w:r>
    </w:p>
    <w:p>
      <w:pPr>
        <w:pStyle w:val="28"/>
        <w:keepNext/>
        <w:jc w:val="center"/>
        <w:rPr>
          <w:rFonts w:ascii="Arial" w:hAnsi="Arial" w:cs="Arial"/>
          <w:highlight w:val="none"/>
        </w:rPr>
      </w:pPr>
      <w:r>
        <w:rPr>
          <w:rFonts w:ascii="Arial" w:hAnsi="Arial" w:cs="Arial"/>
          <w:highlight w:val="none"/>
        </w:rPr>
        <w:t>Table 7.1.3.4-1 the calculation for maximum input level requirements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2"/>
        <w:gridCol w:w="2266"/>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rFonts w:eastAsia="SimSun"/>
                <w:highlight w:val="none"/>
                <w:lang w:val="en-US" w:eastAsia="zh-CN"/>
              </w:rPr>
              <w:t>Parameters</w:t>
            </w:r>
          </w:p>
        </w:tc>
        <w:tc>
          <w:tcPr>
            <w:tcW w:w="0" w:type="auto"/>
            <w:shd w:val="clear" w:color="auto" w:fill="auto"/>
            <w:noWrap/>
            <w:vAlign w:val="center"/>
          </w:tcPr>
          <w:p>
            <w:pPr>
              <w:spacing w:after="0"/>
              <w:jc w:val="center"/>
              <w:rPr>
                <w:rFonts w:eastAsia="SimSun"/>
                <w:highlight w:val="none"/>
                <w:lang w:val="en-US" w:eastAsia="zh-CN"/>
              </w:rPr>
            </w:pPr>
            <w:r>
              <w:rPr>
                <w:rFonts w:eastAsia="SimSun"/>
                <w:highlight w:val="none"/>
                <w:lang w:val="en-US" w:eastAsia="zh-CN"/>
              </w:rPr>
              <w:t>Omni-directional antenna</w:t>
            </w:r>
          </w:p>
        </w:tc>
        <w:tc>
          <w:tcPr>
            <w:tcW w:w="0" w:type="auto"/>
            <w:shd w:val="clear" w:color="auto" w:fill="auto"/>
            <w:noWrap/>
            <w:vAlign w:val="center"/>
          </w:tcPr>
          <w:p>
            <w:pPr>
              <w:spacing w:after="0"/>
              <w:jc w:val="center"/>
              <w:rPr>
                <w:rFonts w:eastAsia="SimSun"/>
                <w:highlight w:val="none"/>
                <w:lang w:val="en-US" w:eastAsia="zh-CN"/>
              </w:rPr>
            </w:pPr>
            <w:r>
              <w:rPr>
                <w:rFonts w:eastAsia="SimSun"/>
                <w:highlight w:val="none"/>
                <w:lang w:val="en-US" w:eastAsia="zh-CN"/>
              </w:rPr>
              <w:t>phased array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Center frequency GHz</w:t>
            </w:r>
          </w:p>
        </w:tc>
        <w:tc>
          <w:tcPr>
            <w:tcW w:w="0" w:type="auto"/>
            <w:shd w:val="clear" w:color="auto" w:fill="auto"/>
            <w:noWrap/>
            <w:vAlign w:val="center"/>
          </w:tcPr>
          <w:p>
            <w:pPr>
              <w:spacing w:after="0"/>
              <w:jc w:val="center"/>
              <w:rPr>
                <w:rFonts w:eastAsia="SimSun"/>
                <w:highlight w:val="none"/>
                <w:lang w:val="en-US" w:eastAsia="zh-CN"/>
              </w:rPr>
            </w:pPr>
            <w:r>
              <w:rPr>
                <w:highlight w:val="none"/>
              </w:rPr>
              <w:t>2</w:t>
            </w:r>
          </w:p>
        </w:tc>
        <w:tc>
          <w:tcPr>
            <w:tcW w:w="0" w:type="auto"/>
            <w:shd w:val="clear" w:color="auto" w:fill="auto"/>
            <w:noWrap/>
            <w:vAlign w:val="center"/>
          </w:tcPr>
          <w:p>
            <w:pPr>
              <w:spacing w:after="0"/>
              <w:jc w:val="center"/>
              <w:rPr>
                <w:rFonts w:eastAsia="SimSun"/>
                <w:highlight w:val="none"/>
                <w:lang w:val="en-US" w:eastAsia="zh-CN"/>
              </w:rPr>
            </w:pPr>
            <w:r>
              <w:rPr>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Distance meter</w:t>
            </w:r>
          </w:p>
        </w:tc>
        <w:tc>
          <w:tcPr>
            <w:tcW w:w="0" w:type="auto"/>
            <w:shd w:val="clear" w:color="auto" w:fill="auto"/>
            <w:noWrap/>
            <w:vAlign w:val="center"/>
          </w:tcPr>
          <w:p>
            <w:pPr>
              <w:spacing w:after="0"/>
              <w:jc w:val="center"/>
              <w:rPr>
                <w:rFonts w:eastAsia="SimSun"/>
                <w:highlight w:val="none"/>
                <w:lang w:val="en-US" w:eastAsia="zh-CN"/>
              </w:rPr>
            </w:pPr>
            <w:r>
              <w:rPr>
                <w:highlight w:val="none"/>
              </w:rPr>
              <w:t>3000</w:t>
            </w:r>
          </w:p>
        </w:tc>
        <w:tc>
          <w:tcPr>
            <w:tcW w:w="0" w:type="auto"/>
            <w:shd w:val="clear" w:color="auto" w:fill="auto"/>
            <w:noWrap/>
            <w:vAlign w:val="center"/>
          </w:tcPr>
          <w:p>
            <w:pPr>
              <w:spacing w:after="0"/>
              <w:jc w:val="center"/>
              <w:rPr>
                <w:rFonts w:eastAsia="SimSun"/>
                <w:highlight w:val="none"/>
                <w:lang w:val="en-US" w:eastAsia="zh-CN"/>
              </w:rPr>
            </w:pPr>
            <w:r>
              <w:rPr>
                <w:highlight w:val="none"/>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Pathloss dB</w:t>
            </w:r>
          </w:p>
        </w:tc>
        <w:tc>
          <w:tcPr>
            <w:tcW w:w="0" w:type="auto"/>
            <w:shd w:val="clear" w:color="auto" w:fill="auto"/>
            <w:noWrap/>
            <w:vAlign w:val="center"/>
          </w:tcPr>
          <w:p>
            <w:pPr>
              <w:spacing w:after="0"/>
              <w:jc w:val="center"/>
              <w:rPr>
                <w:rFonts w:eastAsia="SimSun"/>
                <w:highlight w:val="none"/>
                <w:lang w:val="en-US" w:eastAsia="zh-CN"/>
              </w:rPr>
            </w:pPr>
            <w:r>
              <w:rPr>
                <w:highlight w:val="none"/>
              </w:rPr>
              <w:t>108.063</w:t>
            </w:r>
          </w:p>
        </w:tc>
        <w:tc>
          <w:tcPr>
            <w:tcW w:w="0" w:type="auto"/>
            <w:shd w:val="clear" w:color="auto" w:fill="auto"/>
            <w:noWrap/>
            <w:vAlign w:val="center"/>
          </w:tcPr>
          <w:p>
            <w:pPr>
              <w:spacing w:after="0"/>
              <w:jc w:val="center"/>
              <w:rPr>
                <w:rFonts w:eastAsia="SimSun"/>
                <w:highlight w:val="none"/>
                <w:lang w:val="en-US" w:eastAsia="zh-CN"/>
              </w:rPr>
            </w:pPr>
            <w:r>
              <w:rPr>
                <w:highlight w:val="none"/>
              </w:rPr>
              <w:t>114.0836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ATG BS output power dBm</w:t>
            </w:r>
          </w:p>
        </w:tc>
        <w:tc>
          <w:tcPr>
            <w:tcW w:w="0" w:type="auto"/>
            <w:shd w:val="clear" w:color="auto" w:fill="auto"/>
            <w:noWrap/>
            <w:vAlign w:val="center"/>
          </w:tcPr>
          <w:p>
            <w:pPr>
              <w:spacing w:after="0"/>
              <w:jc w:val="center"/>
              <w:rPr>
                <w:rFonts w:eastAsia="SimSun"/>
                <w:highlight w:val="none"/>
                <w:lang w:val="en-US" w:eastAsia="zh-CN"/>
              </w:rPr>
            </w:pPr>
            <w:r>
              <w:rPr>
                <w:highlight w:val="none"/>
              </w:rPr>
              <w:t>46</w:t>
            </w:r>
          </w:p>
        </w:tc>
        <w:tc>
          <w:tcPr>
            <w:tcW w:w="0" w:type="auto"/>
            <w:shd w:val="clear" w:color="auto" w:fill="auto"/>
            <w:noWrap/>
            <w:vAlign w:val="center"/>
          </w:tcPr>
          <w:p>
            <w:pPr>
              <w:spacing w:after="0"/>
              <w:jc w:val="center"/>
              <w:rPr>
                <w:rFonts w:eastAsia="SimSun"/>
                <w:highlight w:val="none"/>
                <w:lang w:val="en-US" w:eastAsia="zh-CN"/>
              </w:rPr>
            </w:pPr>
            <w:r>
              <w:rPr>
                <w:highlight w:val="none"/>
              </w:rP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ATG BS antenna gain</w:t>
            </w:r>
          </w:p>
        </w:tc>
        <w:tc>
          <w:tcPr>
            <w:tcW w:w="0" w:type="auto"/>
            <w:shd w:val="clear" w:color="auto" w:fill="auto"/>
            <w:noWrap/>
            <w:vAlign w:val="center"/>
          </w:tcPr>
          <w:p>
            <w:pPr>
              <w:spacing w:after="0"/>
              <w:jc w:val="center"/>
              <w:rPr>
                <w:rFonts w:eastAsia="SimSun"/>
                <w:highlight w:val="none"/>
                <w:lang w:val="en-US" w:eastAsia="zh-CN"/>
              </w:rPr>
            </w:pPr>
            <w:r>
              <w:rPr>
                <w:highlight w:val="none"/>
              </w:rPr>
              <w:t>21</w:t>
            </w:r>
          </w:p>
        </w:tc>
        <w:tc>
          <w:tcPr>
            <w:tcW w:w="0" w:type="auto"/>
            <w:shd w:val="clear" w:color="auto" w:fill="auto"/>
            <w:noWrap/>
            <w:vAlign w:val="center"/>
          </w:tcPr>
          <w:p>
            <w:pPr>
              <w:spacing w:after="0"/>
              <w:jc w:val="center"/>
              <w:rPr>
                <w:rFonts w:eastAsia="SimSun"/>
                <w:highlight w:val="none"/>
                <w:lang w:val="en-US" w:eastAsia="zh-CN"/>
              </w:rPr>
            </w:pPr>
            <w:r>
              <w:rPr>
                <w:highlight w:val="none"/>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ATG UE element gain</w:t>
            </w:r>
          </w:p>
        </w:tc>
        <w:tc>
          <w:tcPr>
            <w:tcW w:w="0" w:type="auto"/>
            <w:shd w:val="clear" w:color="auto" w:fill="auto"/>
            <w:noWrap/>
            <w:vAlign w:val="center"/>
          </w:tcPr>
          <w:p>
            <w:pPr>
              <w:spacing w:after="0"/>
              <w:jc w:val="center"/>
              <w:rPr>
                <w:rFonts w:eastAsia="SimSun"/>
                <w:highlight w:val="none"/>
                <w:lang w:val="en-US" w:eastAsia="zh-CN"/>
              </w:rPr>
            </w:pPr>
            <w:r>
              <w:rPr>
                <w:highlight w:val="none"/>
              </w:rPr>
              <w:t>0</w:t>
            </w:r>
          </w:p>
        </w:tc>
        <w:tc>
          <w:tcPr>
            <w:tcW w:w="0" w:type="auto"/>
            <w:shd w:val="clear" w:color="auto" w:fill="auto"/>
            <w:noWrap/>
            <w:vAlign w:val="center"/>
          </w:tcPr>
          <w:p>
            <w:pPr>
              <w:spacing w:after="0"/>
              <w:jc w:val="center"/>
              <w:rPr>
                <w:rFonts w:eastAsia="SimSun"/>
                <w:highlight w:val="none"/>
                <w:lang w:val="en-US" w:eastAsia="zh-CN"/>
              </w:rPr>
            </w:pPr>
            <w:r>
              <w:rPr>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p>
        </w:tc>
        <w:tc>
          <w:tcPr>
            <w:tcW w:w="0" w:type="auto"/>
            <w:shd w:val="clear" w:color="auto" w:fill="auto"/>
            <w:noWrap/>
            <w:vAlign w:val="center"/>
          </w:tcPr>
          <w:p>
            <w:pPr>
              <w:spacing w:after="0"/>
              <w:jc w:val="center"/>
              <w:rPr>
                <w:rFonts w:eastAsia="SimSun"/>
                <w:highlight w:val="none"/>
                <w:lang w:val="en-US" w:eastAsia="zh-CN"/>
              </w:rPr>
            </w:pPr>
          </w:p>
        </w:tc>
        <w:tc>
          <w:tcPr>
            <w:tcW w:w="0" w:type="auto"/>
            <w:shd w:val="clear" w:color="auto" w:fill="auto"/>
            <w:noWrap/>
            <w:vAlign w:val="center"/>
          </w:tcPr>
          <w:p>
            <w:pPr>
              <w:spacing w:after="0"/>
              <w:jc w:val="center"/>
              <w:rPr>
                <w:rFonts w:eastAsia="SimSun"/>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SimSun"/>
                <w:highlight w:val="none"/>
                <w:lang w:val="en-US" w:eastAsia="zh-CN"/>
              </w:rPr>
            </w:pPr>
            <w:r>
              <w:rPr>
                <w:highlight w:val="none"/>
              </w:rPr>
              <w:t>maximum input level dBm</w:t>
            </w:r>
          </w:p>
        </w:tc>
        <w:tc>
          <w:tcPr>
            <w:tcW w:w="0" w:type="auto"/>
            <w:shd w:val="clear" w:color="auto" w:fill="auto"/>
            <w:noWrap/>
            <w:vAlign w:val="center"/>
          </w:tcPr>
          <w:p>
            <w:pPr>
              <w:spacing w:after="0"/>
              <w:jc w:val="center"/>
              <w:rPr>
                <w:rFonts w:eastAsia="SimSun"/>
                <w:highlight w:val="none"/>
                <w:lang w:val="en-US" w:eastAsia="zh-CN"/>
              </w:rPr>
            </w:pPr>
            <w:r>
              <w:rPr>
                <w:highlight w:val="none"/>
              </w:rPr>
              <w:t>-42.063</w:t>
            </w:r>
          </w:p>
        </w:tc>
        <w:tc>
          <w:tcPr>
            <w:tcW w:w="0" w:type="auto"/>
            <w:shd w:val="clear" w:color="auto" w:fill="auto"/>
            <w:noWrap/>
            <w:vAlign w:val="center"/>
          </w:tcPr>
          <w:p>
            <w:pPr>
              <w:spacing w:after="0"/>
              <w:jc w:val="center"/>
              <w:rPr>
                <w:rFonts w:eastAsia="SimSun"/>
                <w:lang w:val="en-US" w:eastAsia="zh-CN"/>
              </w:rPr>
            </w:pPr>
            <w:r>
              <w:rPr>
                <w:highlight w:val="none"/>
              </w:rPr>
              <w:t>-35.0836</w:t>
            </w:r>
          </w:p>
        </w:tc>
      </w:tr>
    </w:tbl>
    <w:p>
      <w:pPr>
        <w:jc w:val="both"/>
        <w:rPr>
          <w:rFonts w:cs="v5.0.0"/>
        </w:rPr>
      </w:pPr>
    </w:p>
    <w:p>
      <w:pPr>
        <w:jc w:val="both"/>
      </w:pPr>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For ATG, the maximum input level requirements are defined in Table 7.1.3.4-2 based on two types of UE</w:t>
      </w:r>
      <w:r>
        <w:rPr>
          <w:rFonts w:cs="v5.0.0"/>
        </w:rPr>
        <w:t xml:space="preserve"> antenna, i.e., omni-directional antenna and phased array antenna.</w:t>
      </w:r>
    </w:p>
    <w:p>
      <w:pPr>
        <w:pStyle w:val="76"/>
      </w:pPr>
      <w:r>
        <w:t>Table 7.1.3.4-2: Maximum input level for ATG</w:t>
      </w:r>
    </w:p>
    <w:tbl>
      <w:tblPr>
        <w:tblStyle w:val="49"/>
        <w:tblW w:w="9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709"/>
        <w:gridCol w:w="2126"/>
        <w:gridCol w:w="2694"/>
        <w:gridCol w:w="26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pPr>
              <w:keepNext/>
              <w:keepLines/>
              <w:spacing w:after="0"/>
              <w:jc w:val="center"/>
              <w:rPr>
                <w:rFonts w:ascii="Arial" w:hAnsi="Arial" w:cs="Arial" w:eastAsiaTheme="minorEastAsia"/>
                <w:b/>
                <w:sz w:val="18"/>
                <w:lang w:eastAsia="zh-CN"/>
              </w:rPr>
            </w:pPr>
            <w:r>
              <w:rPr>
                <w:rFonts w:hint="eastAsia" w:ascii="Arial" w:hAnsi="Arial" w:cs="Arial" w:eastAsiaTheme="minorEastAsia"/>
                <w:b/>
                <w:sz w:val="18"/>
                <w:lang w:eastAsia="zh-CN"/>
              </w:rPr>
              <w:t>A</w:t>
            </w:r>
            <w:r>
              <w:rPr>
                <w:rFonts w:ascii="Arial" w:hAnsi="Arial" w:cs="Arial" w:eastAsiaTheme="minorEastAsia"/>
                <w:b/>
                <w:sz w:val="18"/>
                <w:lang w:eastAsia="zh-CN"/>
              </w:rPr>
              <w:t>TG UE Types</w:t>
            </w:r>
          </w:p>
        </w:tc>
        <w:tc>
          <w:tcPr>
            <w:tcW w:w="2692"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Reference measurement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vMerge w:val="continue"/>
            <w:tcBorders>
              <w:bottom w:val="single" w:color="auto" w:sz="4" w:space="0"/>
            </w:tcBorders>
            <w:shd w:val="clear" w:color="auto" w:fill="auto"/>
            <w:vAlign w:val="center"/>
          </w:tcPr>
          <w:p>
            <w:pPr>
              <w:keepNext/>
              <w:keepLines/>
              <w:spacing w:after="0"/>
              <w:jc w:val="center"/>
              <w:rPr>
                <w:rFonts w:ascii="Arial" w:hAnsi="Arial" w:cs="Arial"/>
                <w:b/>
                <w:sz w:val="18"/>
              </w:rPr>
            </w:pPr>
          </w:p>
        </w:tc>
        <w:tc>
          <w:tcPr>
            <w:tcW w:w="709" w:type="dxa"/>
            <w:vMerge w:val="continue"/>
            <w:tcBorders>
              <w:bottom w:val="single" w:color="auto" w:sz="4" w:space="0"/>
            </w:tcBorders>
            <w:shd w:val="clear" w:color="auto" w:fill="auto"/>
            <w:vAlign w:val="center"/>
          </w:tcPr>
          <w:p>
            <w:pPr>
              <w:keepNext/>
              <w:keepLines/>
              <w:spacing w:after="0"/>
              <w:jc w:val="center"/>
              <w:rPr>
                <w:rFonts w:ascii="Arial" w:hAnsi="Arial" w:cs="Arial"/>
                <w:b/>
                <w:sz w:val="18"/>
              </w:rPr>
            </w:pPr>
          </w:p>
        </w:tc>
        <w:tc>
          <w:tcPr>
            <w:tcW w:w="2126" w:type="dxa"/>
            <w:shd w:val="clear" w:color="auto" w:fill="auto"/>
            <w:vAlign w:val="center"/>
          </w:tcPr>
          <w:p>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val="continue"/>
            <w:shd w:val="clear" w:color="auto" w:fill="auto"/>
          </w:tcPr>
          <w:p>
            <w:pPr>
              <w:keepNext/>
              <w:keepLines/>
              <w:spacing w:after="0"/>
              <w:jc w:val="center"/>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bottom w:val="nil"/>
            </w:tcBorders>
            <w:shd w:val="clear" w:color="auto" w:fill="auto"/>
            <w:vAlign w:val="center"/>
          </w:tcPr>
          <w:p>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pPr>
              <w:keepNext/>
              <w:keepLines/>
              <w:spacing w:after="0"/>
              <w:jc w:val="center"/>
              <w:rPr>
                <w:rFonts w:ascii="Arial" w:hAnsi="Arial" w:cs="Arial"/>
                <w:sz w:val="18"/>
              </w:rPr>
            </w:pPr>
            <w:r>
              <w:rPr>
                <w:rFonts w:ascii="Arial" w:hAnsi="Arial" w:cs="Arial"/>
                <w:sz w:val="18"/>
              </w:rPr>
              <w:t>A.3.2.3 or A.3.3.3 for 64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top w:val="nil"/>
            </w:tcBorders>
            <w:shd w:val="clear" w:color="auto" w:fill="auto"/>
            <w:vAlign w:val="center"/>
          </w:tcPr>
          <w:p>
            <w:pPr>
              <w:keepNext/>
              <w:keepLines/>
              <w:spacing w:after="0"/>
              <w:jc w:val="center"/>
              <w:rPr>
                <w:rFonts w:ascii="Arial" w:hAnsi="Arial" w:cs="Arial"/>
                <w:sz w:val="18"/>
              </w:rPr>
            </w:pPr>
          </w:p>
        </w:tc>
        <w:tc>
          <w:tcPr>
            <w:tcW w:w="709" w:type="dxa"/>
            <w:tcBorders>
              <w:top w:val="nil"/>
            </w:tcBorders>
            <w:shd w:val="clear" w:color="auto" w:fill="auto"/>
            <w:vAlign w:val="center"/>
          </w:tcPr>
          <w:p>
            <w:pPr>
              <w:keepNext/>
              <w:keepLines/>
              <w:spacing w:after="0"/>
              <w:jc w:val="center"/>
              <w:rPr>
                <w:rFonts w:ascii="Arial" w:hAnsi="Arial" w:cs="Arial"/>
                <w:sz w:val="18"/>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A.3.2.4 or A.3.3.4 for 256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top w:val="nil"/>
            </w:tcBorders>
            <w:shd w:val="clear" w:color="auto" w:fill="auto"/>
            <w:vAlign w:val="center"/>
          </w:tcPr>
          <w:p>
            <w:pPr>
              <w:keepNext/>
              <w:keepLines/>
              <w:spacing w:after="0"/>
              <w:jc w:val="center"/>
              <w:rPr>
                <w:rFonts w:ascii="Arial" w:hAnsi="Arial" w:cs="Arial" w:eastAsiaTheme="minorEastAsia"/>
                <w:sz w:val="18"/>
                <w:lang w:eastAsia="zh-CN"/>
              </w:rPr>
            </w:pPr>
            <w:r>
              <w:rPr>
                <w:rFonts w:hint="eastAsia" w:ascii="Arial" w:hAnsi="Arial" w:cs="Arial" w:eastAsiaTheme="minorEastAsia"/>
                <w:sz w:val="18"/>
                <w:lang w:eastAsia="zh-CN"/>
              </w:rPr>
              <w:t>T</w:t>
            </w:r>
            <w:r>
              <w:rPr>
                <w:rFonts w:ascii="Arial" w:hAnsi="Arial" w:cs="Arial" w:eastAsiaTheme="minorEastAsia"/>
                <w:sz w:val="18"/>
                <w:lang w:eastAsia="zh-CN"/>
              </w:rPr>
              <w:t>he applicable channel bandwidths</w:t>
            </w:r>
          </w:p>
        </w:tc>
        <w:tc>
          <w:tcPr>
            <w:tcW w:w="709" w:type="dxa"/>
            <w:tcBorders>
              <w:top w:val="nil"/>
            </w:tcBorders>
            <w:shd w:val="clear" w:color="auto" w:fill="auto"/>
            <w:vAlign w:val="center"/>
          </w:tcPr>
          <w:p>
            <w:pPr>
              <w:keepNext/>
              <w:keepLines/>
              <w:spacing w:after="0"/>
              <w:jc w:val="center"/>
              <w:rPr>
                <w:rFonts w:ascii="Arial" w:hAnsi="Arial" w:cs="Arial" w:eastAsiaTheme="minorEastAsia"/>
                <w:sz w:val="18"/>
                <w:lang w:eastAsia="zh-CN"/>
              </w:rPr>
            </w:pPr>
            <w:r>
              <w:rPr>
                <w:rFonts w:hint="eastAsia" w:ascii="Arial" w:hAnsi="Arial" w:cs="Arial" w:eastAsiaTheme="minorEastAsia"/>
                <w:sz w:val="18"/>
                <w:lang w:eastAsia="zh-CN"/>
              </w:rPr>
              <w:t>M</w:t>
            </w:r>
            <w:r>
              <w:rPr>
                <w:rFonts w:ascii="Arial" w:hAnsi="Arial" w:cs="Arial" w:eastAsiaTheme="minorEastAsia"/>
                <w:sz w:val="18"/>
                <w:lang w:eastAsia="zh-CN"/>
              </w:rPr>
              <w:t>Hz</w:t>
            </w:r>
          </w:p>
        </w:tc>
        <w:tc>
          <w:tcPr>
            <w:tcW w:w="751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rPr>
            </w:pPr>
            <w:r>
              <w:rPr>
                <w:rFonts w:ascii="Arial" w:hAnsi="Arial" w:cs="Arial"/>
                <w:sz w:val="18"/>
              </w:rPr>
              <w:t>5, 10, 15, 20, 25, 30, 35, 40, 45, 50, 60, 70, 80, 90, 100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9917" w:type="dxa"/>
            <w:gridSpan w:val="5"/>
            <w:shd w:val="clear" w:color="auto" w:fill="auto"/>
          </w:tcPr>
          <w:p>
            <w:pPr>
              <w:pStyle w:val="81"/>
            </w:pPr>
            <w:r>
              <w:t>NOTE 1:</w:t>
            </w:r>
            <w:r>
              <w:tab/>
            </w:r>
            <w:r>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p>
      <w:pPr>
        <w:pStyle w:val="5"/>
        <w:spacing w:after="0"/>
        <w:ind w:left="0" w:firstLine="0"/>
      </w:pPr>
      <w:bookmarkStart w:id="685" w:name="_Toc3012"/>
      <w:bookmarkStart w:id="686" w:name="_Toc27932"/>
      <w:bookmarkStart w:id="687" w:name="_Toc14805"/>
      <w:bookmarkStart w:id="688" w:name="_Toc10644"/>
      <w:bookmarkStart w:id="689" w:name="_Toc20996"/>
      <w:bookmarkStart w:id="690" w:name="_Toc13349816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685"/>
      <w:bookmarkEnd w:id="686"/>
      <w:bookmarkEnd w:id="687"/>
      <w:bookmarkEnd w:id="688"/>
      <w:bookmarkEnd w:id="689"/>
      <w:bookmarkEnd w:id="690"/>
    </w:p>
    <w:p>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pPr>
        <w:rPr>
          <w:szCs w:val="22"/>
          <w:lang w:eastAsia="zh-TW"/>
        </w:rPr>
      </w:pPr>
      <w:r>
        <w:rPr>
          <w:rFonts w:eastAsia="SimSun"/>
          <w:szCs w:val="22"/>
          <w:lang w:eastAsia="zh-CN"/>
        </w:rPr>
        <w:t xml:space="preserve">The legacy </w:t>
      </w:r>
      <w:r>
        <w:rPr>
          <w:rFonts w:hint="eastAsia" w:eastAsia="SimSun"/>
          <w:szCs w:val="22"/>
          <w:lang w:eastAsia="zh-CN"/>
        </w:rPr>
        <w:t xml:space="preserve">ACS </w:t>
      </w:r>
      <w:r>
        <w:rPr>
          <w:rFonts w:eastAsia="SimSun"/>
          <w:szCs w:val="22"/>
          <w:lang w:eastAsia="zh-CN"/>
        </w:rPr>
        <w:t xml:space="preserve">test parameters in </w:t>
      </w:r>
      <w:r>
        <w:rPr>
          <w:rFonts w:hint="eastAsia" w:eastAsia="SimSun"/>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p>
      <w:pPr>
        <w:pStyle w:val="5"/>
        <w:spacing w:after="0"/>
        <w:ind w:left="0" w:firstLine="0"/>
      </w:pPr>
      <w:bookmarkStart w:id="691" w:name="_Toc133498161"/>
      <w:bookmarkStart w:id="692" w:name="_Toc562"/>
      <w:bookmarkStart w:id="693" w:name="_Toc5060"/>
      <w:bookmarkStart w:id="694" w:name="_Toc1202"/>
      <w:bookmarkStart w:id="695" w:name="_Toc22910"/>
      <w:bookmarkStart w:id="696" w:name="_Toc4100"/>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691"/>
      <w:bookmarkEnd w:id="692"/>
      <w:bookmarkEnd w:id="693"/>
      <w:bookmarkEnd w:id="694"/>
      <w:bookmarkEnd w:id="695"/>
      <w:bookmarkEnd w:id="696"/>
    </w:p>
    <w:p>
      <w:pPr>
        <w:jc w:val="both"/>
        <w:rPr>
          <w:b/>
          <w:bCs/>
          <w:color w:val="000000" w:themeColor="text1"/>
          <w:sz w:val="20"/>
          <w:szCs w:val="20"/>
          <w:u w:val="single"/>
          <w14:textFill>
            <w14:solidFill>
              <w14:schemeClr w14:val="tx1"/>
            </w14:solidFill>
          </w14:textFill>
        </w:rPr>
      </w:pPr>
      <w:r>
        <w:rPr>
          <w:b/>
          <w:bCs/>
          <w:color w:val="000000" w:themeColor="text1"/>
          <w:sz w:val="20"/>
          <w:szCs w:val="20"/>
          <w:u w:val="single"/>
          <w14:textFill>
            <w14:solidFill>
              <w14:schemeClr w14:val="tx1"/>
            </w14:solidFill>
          </w14:textFill>
        </w:rPr>
        <w:t>Blocking due to TN interference</w:t>
      </w:r>
    </w:p>
    <w:p>
      <w:pPr>
        <w:spacing w:after="160" w:line="259" w:lineRule="auto"/>
        <w:rPr>
          <w:rFonts w:eastAsia="Calibri"/>
          <w:sz w:val="20"/>
          <w:szCs w:val="22"/>
          <w:lang w:eastAsia="ja-JP"/>
        </w:rPr>
      </w:pPr>
      <w:r>
        <w:rPr>
          <w:rFonts w:eastAsia="Calibri"/>
          <w:sz w:val="20"/>
          <w:szCs w:val="22"/>
          <w:lang w:eastAsia="ja-JP"/>
        </w:rPr>
        <w:t xml:space="preserve">Compared to terrestrial UE, ATG UEs are distant from base stations, experiencing LoS path loss from the TN BS that </w:t>
      </w:r>
      <w:r>
        <w:rPr>
          <w:rFonts w:hint="eastAsia" w:eastAsia="Calibri"/>
          <w:sz w:val="20"/>
          <w:szCs w:val="22"/>
        </w:rPr>
        <w:t>is</w:t>
      </w:r>
      <w:r>
        <w:rPr>
          <w:rFonts w:eastAsia="Calibri"/>
          <w:sz w:val="20"/>
          <w:szCs w:val="22"/>
          <w:lang w:eastAsia="ja-JP"/>
        </w:rPr>
        <w:t xml:space="preserve"> not directly pointed at them. ATG UE at 2 GHz with </w:t>
      </w:r>
      <w:r>
        <w:rPr>
          <w:rFonts w:hint="eastAsia" w:eastAsia="SimSun"/>
          <w:sz w:val="20"/>
          <w:szCs w:val="22"/>
          <w:lang w:eastAsia="zh-CN"/>
        </w:rPr>
        <w:t>omni-directional</w:t>
      </w:r>
      <w:r>
        <w:rPr>
          <w:rFonts w:eastAsia="Calibri"/>
          <w:sz w:val="20"/>
          <w:szCs w:val="22"/>
          <w:lang w:eastAsia="ja-JP"/>
        </w:rPr>
        <w:t xml:space="preserve"> antennas, may receive power from multiple TN BSs. Even at 4 GHz, an ATG UE pointing downwards may still receive Rx power from the ground TN BS.</w:t>
      </w:r>
    </w:p>
    <w:p>
      <w:pPr>
        <w:spacing w:after="160" w:line="259" w:lineRule="auto"/>
        <w:rPr>
          <w:rFonts w:eastAsia="Calibri"/>
          <w:sz w:val="20"/>
          <w:szCs w:val="20"/>
          <w:lang w:eastAsia="ja-JP"/>
        </w:rPr>
      </w:pPr>
      <w:r>
        <w:rPr>
          <w:rFonts w:eastAsia="Calibri"/>
          <w:sz w:val="20"/>
          <w:szCs w:val="20"/>
          <w:lang w:eastAsia="ja-JP"/>
        </w:rPr>
        <w:t xml:space="preserve">To evaluate the TN’s blocking power, simulations are conducted based on Scenario 3 and 11 (TN aggressor DL to ATG DL) and analyze the CDF of the absolute Rx power received by the ATG UE from the TN. The simulation is based on the following deployment scenarios: </w:t>
      </w:r>
      <w:r>
        <w:rPr>
          <w:rFonts w:eastAsia="Calibri"/>
          <w:sz w:val="20"/>
          <w:szCs w:val="20"/>
          <w:lang w:val="en-GB" w:eastAsia="ja-JP"/>
        </w:rPr>
        <w:t xml:space="preserve">the ATG BS is located 300 km away from the center of the TN cluster and the ATG UEs x-coordinate is uniformly distributed over the horizontal extent of the TN cluster. The TN BSs utilize </w:t>
      </w:r>
      <w:r>
        <w:rPr>
          <w:rFonts w:eastAsia="Calibri"/>
          <w:sz w:val="20"/>
          <w:szCs w:val="20"/>
          <w:lang w:eastAsia="ja-JP"/>
        </w:rPr>
        <w:t>non-co-located 8-column non-subarray antennas. A single 5 dBi gain element has been used at the ATG UE at 4 GHz while an isotropic radiator is used at 2 GHz.</w:t>
      </w:r>
    </w:p>
    <w:p>
      <w:pPr>
        <w:spacing w:after="160" w:line="259" w:lineRule="auto"/>
        <w:rPr>
          <w:rFonts w:eastAsia="Calibri"/>
          <w:sz w:val="20"/>
          <w:szCs w:val="22"/>
          <w:lang w:eastAsia="ja-JP"/>
        </w:rPr>
      </w:pPr>
      <w:r>
        <w:rPr>
          <w:rFonts w:eastAsia="Calibri"/>
          <w:sz w:val="20"/>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pPr>
        <w:spacing w:after="160" w:line="259" w:lineRule="auto"/>
        <w:rPr>
          <w:rFonts w:eastAsia="Calibri"/>
          <w:sz w:val="20"/>
          <w:szCs w:val="22"/>
          <w:lang w:eastAsia="ja-JP"/>
        </w:rPr>
      </w:pPr>
      <w:r>
        <w:rPr>
          <w:rFonts w:eastAsia="Calibri"/>
          <w:sz w:val="20"/>
          <w:szCs w:val="22"/>
          <w:lang w:eastAsia="ja-JP"/>
        </w:rPr>
        <w:t xml:space="preserve">Therefore, it is suggested to reuse the in-band blocking requirements in TS 38.101-1 for ATG UE. </w:t>
      </w:r>
    </w:p>
    <w:p>
      <w:pPr>
        <w:spacing w:after="160" w:line="259" w:lineRule="auto"/>
        <w:rPr>
          <w:rFonts w:eastAsia="Calibri"/>
          <w:sz w:val="20"/>
          <w:szCs w:val="22"/>
          <w:lang w:eastAsia="ja-JP"/>
        </w:rPr>
      </w:pPr>
    </w:p>
    <w:p>
      <w:pPr>
        <w:keepNext/>
        <w:spacing w:after="160" w:line="259" w:lineRule="auto"/>
        <w:jc w:val="center"/>
      </w:pPr>
      <w:r>
        <w:rPr>
          <w:rFonts w:eastAsia="Calibri"/>
          <w:sz w:val="20"/>
          <w:szCs w:val="22"/>
          <w:lang w:eastAsia="ja-JP"/>
        </w:rPr>
        <w:drawing>
          <wp:inline distT="0" distB="0" distL="0" distR="0">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5"/>
                    <a:srcRect l="2860" t="2468" r="5457"/>
                    <a:stretch>
                      <a:fillRect/>
                    </a:stretch>
                  </pic:blipFill>
                  <pic:spPr>
                    <a:xfrm>
                      <a:off x="0" y="0"/>
                      <a:ext cx="4917279" cy="2358048"/>
                    </a:xfrm>
                    <a:prstGeom prst="rect">
                      <a:avLst/>
                    </a:prstGeom>
                    <a:ln>
                      <a:noFill/>
                    </a:ln>
                  </pic:spPr>
                </pic:pic>
              </a:graphicData>
            </a:graphic>
          </wp:inline>
        </w:drawing>
      </w:r>
    </w:p>
    <w:p>
      <w:pPr>
        <w:pStyle w:val="28"/>
        <w:jc w:val="center"/>
        <w:rPr>
          <w:rFonts w:ascii="Arial" w:hAnsi="Arial" w:cs="Arial"/>
          <w:sz w:val="20"/>
          <w:szCs w:val="20"/>
        </w:rPr>
      </w:pPr>
      <w:bookmarkStart w:id="697" w:name="_Ref131669479"/>
      <w:r>
        <w:rPr>
          <w:rFonts w:ascii="Arial" w:hAnsi="Arial" w:cs="Arial"/>
          <w:sz w:val="20"/>
          <w:szCs w:val="20"/>
        </w:rPr>
        <w:t xml:space="preserve">Figure </w:t>
      </w:r>
      <w:bookmarkEnd w:id="697"/>
      <w:r>
        <w:rPr>
          <w:rFonts w:ascii="Arial" w:hAnsi="Arial" w:cs="Arial"/>
          <w:sz w:val="20"/>
          <w:szCs w:val="20"/>
        </w:rPr>
        <w:t>7.1.3.6-1 Simulation results of ACI blocking for scenario 3.</w:t>
      </w:r>
    </w:p>
    <w:p>
      <w:pPr>
        <w:rPr>
          <w:rFonts w:eastAsia="Calibri"/>
        </w:rPr>
      </w:pPr>
    </w:p>
    <w:p>
      <w:pPr>
        <w:keepNext/>
        <w:spacing w:after="160" w:line="259" w:lineRule="auto"/>
        <w:jc w:val="center"/>
      </w:pPr>
      <w:r>
        <w:rPr>
          <w:rFonts w:eastAsia="Calibri"/>
          <w:sz w:val="20"/>
          <w:szCs w:val="22"/>
          <w:lang w:eastAsia="ja-JP"/>
        </w:rPr>
        <w:drawing>
          <wp:inline distT="0" distB="0" distL="0" distR="0">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6"/>
                    <a:srcRect l="2860" t="2116" r="5457"/>
                    <a:stretch>
                      <a:fillRect/>
                    </a:stretch>
                  </pic:blipFill>
                  <pic:spPr>
                    <a:xfrm>
                      <a:off x="0" y="0"/>
                      <a:ext cx="4840571" cy="2329655"/>
                    </a:xfrm>
                    <a:prstGeom prst="rect">
                      <a:avLst/>
                    </a:prstGeom>
                    <a:ln>
                      <a:noFill/>
                    </a:ln>
                  </pic:spPr>
                </pic:pic>
              </a:graphicData>
            </a:graphic>
          </wp:inline>
        </w:drawing>
      </w:r>
    </w:p>
    <w:p>
      <w:pPr>
        <w:pStyle w:val="28"/>
        <w:jc w:val="center"/>
        <w:rPr>
          <w:rFonts w:ascii="Arial" w:hAnsi="Arial" w:cs="Arial"/>
          <w:sz w:val="20"/>
          <w:szCs w:val="20"/>
        </w:rPr>
      </w:pPr>
      <w:bookmarkStart w:id="698" w:name="_Ref131669486"/>
      <w:r>
        <w:rPr>
          <w:rFonts w:ascii="Arial" w:hAnsi="Arial" w:cs="Arial"/>
          <w:sz w:val="20"/>
          <w:szCs w:val="20"/>
        </w:rPr>
        <w:t xml:space="preserve">Figure </w:t>
      </w:r>
      <w:bookmarkEnd w:id="698"/>
      <w:r>
        <w:rPr>
          <w:rFonts w:ascii="Arial" w:hAnsi="Arial" w:cs="Arial"/>
          <w:sz w:val="20"/>
          <w:szCs w:val="20"/>
        </w:rPr>
        <w:t>7.1.3.6-2 Simulation results of ACI blocking for scenario 11.</w:t>
      </w:r>
    </w:p>
    <w:p>
      <w:pPr>
        <w:jc w:val="both"/>
        <w:rPr>
          <w:b/>
          <w:bCs/>
          <w:color w:val="000000" w:themeColor="text1"/>
          <w:sz w:val="20"/>
          <w:szCs w:val="20"/>
          <w:u w:val="single"/>
          <w14:textFill>
            <w14:solidFill>
              <w14:schemeClr w14:val="tx1"/>
            </w14:solidFill>
          </w14:textFill>
        </w:rPr>
      </w:pPr>
      <w:r>
        <w:rPr>
          <w:b/>
          <w:bCs/>
          <w:color w:val="000000" w:themeColor="text1"/>
          <w:sz w:val="20"/>
          <w:szCs w:val="20"/>
          <w:u w:val="single"/>
          <w14:textFill>
            <w14:solidFill>
              <w14:schemeClr w14:val="tx1"/>
            </w14:solidFill>
          </w14:textFill>
        </w:rPr>
        <w:t>Blocking due to interference from another ATG network</w:t>
      </w:r>
    </w:p>
    <w:p>
      <w:pPr>
        <w:spacing w:after="160" w:line="259" w:lineRule="auto"/>
        <w:rPr>
          <w:rFonts w:eastAsia="Calibri"/>
          <w:sz w:val="20"/>
          <w:szCs w:val="22"/>
          <w:lang w:eastAsia="ja-JP"/>
        </w:rPr>
      </w:pPr>
      <w:r>
        <w:rPr>
          <w:rFonts w:eastAsia="Calibri"/>
          <w:sz w:val="20"/>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pPr>
        <w:keepNext/>
        <w:spacing w:after="160" w:line="259" w:lineRule="auto"/>
        <w:jc w:val="center"/>
      </w:pPr>
    </w:p>
    <w:p>
      <w:pPr>
        <w:keepNext/>
        <w:spacing w:after="160" w:line="259" w:lineRule="auto"/>
        <w:jc w:val="center"/>
      </w:pPr>
      <w:r>
        <w:drawing>
          <wp:inline distT="0" distB="0" distL="0" distR="0">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7"/>
                    <a:stretch>
                      <a:fillRect/>
                    </a:stretch>
                  </pic:blipFill>
                  <pic:spPr>
                    <a:xfrm>
                      <a:off x="0" y="0"/>
                      <a:ext cx="4594824" cy="3258681"/>
                    </a:xfrm>
                    <a:prstGeom prst="rect">
                      <a:avLst/>
                    </a:prstGeom>
                  </pic:spPr>
                </pic:pic>
              </a:graphicData>
            </a:graphic>
          </wp:inline>
        </w:drawing>
      </w:r>
    </w:p>
    <w:p>
      <w:pPr>
        <w:pStyle w:val="28"/>
        <w:jc w:val="center"/>
        <w:rPr>
          <w:rFonts w:ascii="Arial" w:hAnsi="Arial" w:eastAsia="Calibri" w:cs="Arial"/>
          <w:sz w:val="15"/>
          <w:szCs w:val="18"/>
          <w:lang w:eastAsia="ja-JP"/>
        </w:rPr>
      </w:pPr>
      <w:bookmarkStart w:id="699" w:name="_Ref130820153"/>
      <w:r>
        <w:rPr>
          <w:rFonts w:ascii="Arial" w:hAnsi="Arial" w:cs="Arial"/>
          <w:sz w:val="20"/>
          <w:szCs w:val="20"/>
        </w:rPr>
        <w:t xml:space="preserve">Figure </w:t>
      </w:r>
      <w:bookmarkEnd w:id="699"/>
      <w:r>
        <w:rPr>
          <w:rFonts w:ascii="Arial" w:hAnsi="Arial" w:cs="Arial"/>
          <w:sz w:val="20"/>
          <w:szCs w:val="20"/>
        </w:rPr>
        <w:t>7.1.3.6-3 Two scenarios when co-located BS pointing towards different aircraft that are relatively close.</w:t>
      </w:r>
    </w:p>
    <w:p>
      <w:pPr>
        <w:spacing w:after="160" w:line="259" w:lineRule="auto"/>
        <w:rPr>
          <w:rFonts w:eastAsia="Calibri"/>
          <w:sz w:val="20"/>
          <w:szCs w:val="20"/>
          <w:lang w:eastAsia="ja-JP"/>
        </w:rPr>
      </w:pPr>
      <w:r>
        <w:rPr>
          <w:rFonts w:eastAsia="Calibri"/>
          <w:sz w:val="20"/>
          <w:szCs w:val="20"/>
          <w:lang w:eastAsia="ja-JP"/>
        </w:rPr>
        <w:t>Considering the FAA regulations mandating minimum aircraft separations of 300 m (1000 ft) vertically or 9.26 km (5 NM) horizontally in en-route airspace, one can estimate the angular separation. The victim aircraft could fall within the main lobe or the edge of the beam lobe towards the aggressor aircraft. Assuming 20 km distance from the ATG BS to the victim aircraft at a 10 km flight level, the angle separation is less than 1 deg in Scenario 1 and 15.4 deg in Scenario 2.</w:t>
      </w:r>
    </w:p>
    <w:p>
      <w:pPr>
        <w:spacing w:after="160" w:line="259" w:lineRule="auto"/>
        <w:rPr>
          <w:rFonts w:eastAsia="Calibri"/>
          <w:sz w:val="20"/>
          <w:szCs w:val="20"/>
          <w:lang w:eastAsia="ja-JP"/>
        </w:rPr>
      </w:pPr>
      <w:r>
        <w:rPr>
          <w:rFonts w:eastAsia="Calibri"/>
          <w:sz w:val="20"/>
          <w:szCs w:val="20"/>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pPr>
        <w:spacing w:after="160" w:line="259" w:lineRule="auto"/>
        <w:rPr>
          <w:rFonts w:eastAsia="Calibri"/>
          <w:szCs w:val="20"/>
          <w:lang w:eastAsia="ja-JP"/>
        </w:rPr>
      </w:pPr>
      <w:r>
        <w:rPr>
          <w:rFonts w:eastAsia="Calibri"/>
          <w:szCs w:val="20"/>
          <w:lang w:eastAsia="ja-JP"/>
        </w:rPr>
        <w:t>Thus, it is not necessary to consider blocking from other ATG networks when assessing the in-band blocking requirement.</w:t>
      </w:r>
    </w:p>
    <w:p>
      <w:pPr>
        <w:pStyle w:val="5"/>
        <w:spacing w:after="0"/>
        <w:ind w:left="0" w:firstLine="0"/>
      </w:pPr>
      <w:bookmarkStart w:id="700" w:name="_Toc6635"/>
      <w:bookmarkStart w:id="701" w:name="_Toc21944"/>
      <w:bookmarkStart w:id="702" w:name="_Toc26140"/>
      <w:bookmarkStart w:id="703" w:name="_Toc2887"/>
      <w:bookmarkStart w:id="704" w:name="_Toc24075"/>
      <w:bookmarkStart w:id="705" w:name="_Toc133498162"/>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700"/>
      <w:bookmarkEnd w:id="701"/>
      <w:bookmarkEnd w:id="702"/>
      <w:bookmarkEnd w:id="703"/>
      <w:bookmarkEnd w:id="704"/>
      <w:bookmarkEnd w:id="705"/>
    </w:p>
    <w:p>
      <w:pPr>
        <w:rPr>
          <w:rFonts w:eastAsiaTheme="minorEastAsia"/>
          <w:lang w:eastAsia="zh-CN"/>
        </w:rPr>
      </w:pPr>
      <w:r>
        <w:rPr>
          <w:rFonts w:hint="eastAsia" w:eastAsiaTheme="minor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pPr>
        <w:rPr>
          <w:lang w:eastAsia="zh-CN"/>
        </w:rPr>
      </w:pPr>
      <w:r>
        <w:rPr>
          <w:rFonts w:eastAsiaTheme="minorEastAsia"/>
          <w:lang w:eastAsia="zh-CN"/>
        </w:rPr>
        <w:t>Thus, the existing out-of-band blocking requirements and spurious response requirement (-44dBm) in TS 38.101-1 are used for ATG UE.</w:t>
      </w:r>
    </w:p>
    <w:p>
      <w:pPr>
        <w:pStyle w:val="5"/>
        <w:spacing w:after="0"/>
        <w:ind w:left="0" w:firstLine="0"/>
      </w:pPr>
      <w:bookmarkStart w:id="706" w:name="_Toc133498163"/>
      <w:bookmarkStart w:id="707" w:name="_Toc22285"/>
      <w:bookmarkStart w:id="708" w:name="_Toc7068"/>
      <w:bookmarkStart w:id="709" w:name="_Toc28825"/>
      <w:bookmarkStart w:id="710" w:name="_Toc3829"/>
      <w:bookmarkStart w:id="711" w:name="_Toc804"/>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706"/>
      <w:bookmarkEnd w:id="707"/>
      <w:bookmarkEnd w:id="708"/>
      <w:bookmarkEnd w:id="709"/>
      <w:bookmarkEnd w:id="710"/>
      <w:bookmarkEnd w:id="711"/>
    </w:p>
    <w:p>
      <w:pPr>
        <w:spacing w:after="0"/>
        <w:rPr>
          <w:lang w:val="en-US" w:eastAsia="zh-CN"/>
        </w:rPr>
      </w:pPr>
      <w:r>
        <w:rPr>
          <w:lang w:val="en-US" w:eastAsia="zh-CN"/>
        </w:rPr>
        <w:t>It was agreed not to specify narrow band blocking requirements for ATG UE.</w:t>
      </w:r>
    </w:p>
    <w:p>
      <w:pPr>
        <w:pStyle w:val="5"/>
        <w:spacing w:after="0"/>
        <w:ind w:left="0" w:firstLine="0"/>
      </w:pPr>
      <w:bookmarkStart w:id="712" w:name="_Toc16022"/>
      <w:bookmarkStart w:id="713" w:name="_Toc133498164"/>
      <w:bookmarkStart w:id="714" w:name="_Toc9121"/>
      <w:bookmarkStart w:id="715" w:name="_Toc13888"/>
      <w:bookmarkStart w:id="716" w:name="_Toc13196"/>
      <w:bookmarkStart w:id="717" w:name="_Toc15418"/>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712"/>
      <w:bookmarkEnd w:id="713"/>
      <w:bookmarkEnd w:id="714"/>
      <w:bookmarkEnd w:id="715"/>
      <w:bookmarkEnd w:id="716"/>
      <w:bookmarkEnd w:id="717"/>
    </w:p>
    <w:p>
      <w:pPr>
        <w:spacing w:after="180"/>
        <w:rPr>
          <w:rFonts w:eastAsia="等线"/>
          <w:iCs/>
          <w:sz w:val="20"/>
          <w:szCs w:val="20"/>
        </w:rPr>
      </w:pPr>
      <w:r>
        <w:rPr>
          <w:rFonts w:eastAsia="等线"/>
          <w:iCs/>
          <w:sz w:val="20"/>
          <w:szCs w:val="20"/>
        </w:rPr>
        <w:t>Intermodulation response rejection is a measure of the receiver's capability to receive a wanted signal on its assigned channel frequency in the presence of two or more interfering signals with a specific frequency relationship to the wanted signal.</w:t>
      </w:r>
    </w:p>
    <w:p>
      <w:pPr>
        <w:spacing w:after="180"/>
        <w:rPr>
          <w:rFonts w:eastAsia="等线"/>
          <w:iCs/>
          <w:szCs w:val="20"/>
        </w:rPr>
      </w:pPr>
      <w:r>
        <w:rPr>
          <w:rFonts w:eastAsia="等线"/>
          <w:iCs/>
          <w:szCs w:val="20"/>
        </w:rPr>
        <w:t>It was agreed to reuse the intermodulation characteristics requirements specified in TS 38.101-1 for ATG UE.</w:t>
      </w:r>
    </w:p>
    <w:p>
      <w:pPr>
        <w:pStyle w:val="5"/>
        <w:spacing w:after="0"/>
        <w:ind w:left="0" w:firstLine="0"/>
      </w:pPr>
      <w:bookmarkStart w:id="718" w:name="_Toc133498165"/>
      <w:bookmarkStart w:id="719" w:name="_Toc9666"/>
      <w:bookmarkStart w:id="720" w:name="_Toc5018"/>
      <w:bookmarkStart w:id="721" w:name="_Toc18134"/>
      <w:bookmarkStart w:id="722" w:name="_Toc22829"/>
      <w:bookmarkStart w:id="723" w:name="_Toc21736"/>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718"/>
      <w:bookmarkEnd w:id="719"/>
      <w:bookmarkEnd w:id="720"/>
      <w:bookmarkEnd w:id="721"/>
      <w:bookmarkEnd w:id="722"/>
      <w:bookmarkEnd w:id="723"/>
    </w:p>
    <w:p>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pPr>
        <w:pStyle w:val="3"/>
      </w:pPr>
      <w:bookmarkStart w:id="724" w:name="_Toc16521"/>
      <w:bookmarkStart w:id="725" w:name="_Toc8622"/>
      <w:bookmarkStart w:id="726" w:name="_Toc23818"/>
      <w:bookmarkStart w:id="727" w:name="_Toc31687"/>
      <w:bookmarkStart w:id="728" w:name="_Toc9528"/>
      <w:bookmarkStart w:id="729" w:name="_Toc133498166"/>
      <w:r>
        <w:rPr>
          <w:rFonts w:hint="eastAsia"/>
          <w:lang w:eastAsia="zh-CN"/>
        </w:rPr>
        <w:t>7</w:t>
      </w:r>
      <w:r>
        <w:t>.2</w:t>
      </w:r>
      <w:r>
        <w:tab/>
      </w:r>
      <w:r>
        <w:rPr>
          <w:rFonts w:hint="eastAsia"/>
          <w:lang w:eastAsia="zh-CN"/>
        </w:rPr>
        <w:t xml:space="preserve">ATG </w:t>
      </w:r>
      <w:r>
        <w:t>BS specific</w:t>
      </w:r>
      <w:bookmarkEnd w:id="724"/>
      <w:bookmarkEnd w:id="725"/>
      <w:bookmarkEnd w:id="726"/>
      <w:bookmarkEnd w:id="727"/>
      <w:bookmarkEnd w:id="728"/>
      <w:bookmarkEnd w:id="729"/>
    </w:p>
    <w:p>
      <w:r>
        <w:t xml:space="preserve">For most of the requirements, </w:t>
      </w:r>
      <w:r>
        <w:rPr>
          <w:rFonts w:hint="eastAsia" w:eastAsia="SimSun"/>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hint="eastAsia" w:eastAsia="SimSun"/>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hint="eastAsia" w:eastAsia="SimSun"/>
          <w:lang w:val="en-US" w:eastAsia="zh-CN"/>
        </w:rPr>
        <w:t xml:space="preserve">e following </w:t>
      </w:r>
      <w:r>
        <w:t>section will capture the</w:t>
      </w:r>
      <w:r>
        <w:rPr>
          <w:rFonts w:hint="eastAsia" w:eastAsia="SimSun"/>
          <w:lang w:val="en-US" w:eastAsia="zh-CN"/>
        </w:rPr>
        <w:t xml:space="preserve"> </w:t>
      </w:r>
      <w:r>
        <w:rPr>
          <w:rFonts w:eastAsia="SimSun"/>
          <w:lang w:val="en-US" w:eastAsia="zh-CN"/>
        </w:rPr>
        <w:t xml:space="preserve">considerations </w:t>
      </w:r>
      <w:r>
        <w:rPr>
          <w:rFonts w:hint="eastAsia" w:eastAsia="SimSun"/>
          <w:lang w:val="en-US" w:eastAsia="zh-CN"/>
        </w:rPr>
        <w:t>of ATG BS RF requirement</w:t>
      </w:r>
      <w:r>
        <w:rPr>
          <w:rFonts w:eastAsia="SimSun"/>
          <w:lang w:val="en-US" w:eastAsia="zh-CN"/>
        </w:rPr>
        <w:t>s</w:t>
      </w:r>
      <w:r>
        <w:rPr>
          <w:rFonts w:hint="eastAsia" w:eastAsia="SimSun"/>
          <w:lang w:val="en-US" w:eastAsia="zh-CN"/>
        </w:rPr>
        <w:t>.</w:t>
      </w:r>
    </w:p>
    <w:p>
      <w:pPr>
        <w:pStyle w:val="4"/>
        <w:rPr>
          <w:lang w:eastAsia="zh-CN"/>
        </w:rPr>
      </w:pPr>
      <w:bookmarkStart w:id="730" w:name="_Toc12034"/>
      <w:bookmarkStart w:id="731" w:name="_Toc24573"/>
      <w:bookmarkStart w:id="732" w:name="_Toc133498167"/>
      <w:bookmarkStart w:id="733" w:name="_Toc3824"/>
      <w:bookmarkStart w:id="734" w:name="_Toc26778"/>
      <w:bookmarkStart w:id="735" w:name="_Toc22255"/>
      <w:r>
        <w:rPr>
          <w:rFonts w:hint="eastAsia"/>
        </w:rPr>
        <w:t>7.2.1 ATG BS class and BS type</w:t>
      </w:r>
      <w:bookmarkEnd w:id="730"/>
      <w:bookmarkEnd w:id="731"/>
      <w:bookmarkEnd w:id="732"/>
      <w:bookmarkEnd w:id="733"/>
      <w:bookmarkEnd w:id="734"/>
      <w:bookmarkEnd w:id="735"/>
    </w:p>
    <w:p>
      <w:pPr>
        <w:rPr>
          <w:lang w:val="en-US" w:eastAsia="zh-CN"/>
        </w:rPr>
      </w:pPr>
      <w:bookmarkStart w:id="736"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pPr>
        <w:rPr>
          <w:lang w:eastAsia="zh-CN"/>
        </w:rPr>
      </w:pPr>
      <w:r>
        <w:rPr>
          <w:rFonts w:hint="eastAsia" w:eastAsia="SimSun"/>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pPr>
        <w:pStyle w:val="4"/>
        <w:rPr>
          <w:lang w:eastAsia="zh-CN"/>
        </w:rPr>
      </w:pPr>
      <w:bookmarkStart w:id="737" w:name="_Toc20533"/>
      <w:bookmarkStart w:id="738" w:name="_Toc6592"/>
      <w:bookmarkStart w:id="739" w:name="_Toc13972"/>
      <w:bookmarkStart w:id="740" w:name="_Toc30475"/>
      <w:bookmarkStart w:id="741" w:name="_Toc22140"/>
      <w:bookmarkStart w:id="742" w:name="_Toc133498168"/>
      <w:r>
        <w:rPr>
          <w:rFonts w:hint="eastAsia"/>
        </w:rPr>
        <w:t xml:space="preserve">7.2.2 </w:t>
      </w:r>
      <w:bookmarkEnd w:id="736"/>
      <w:r>
        <w:rPr>
          <w:rFonts w:hint="eastAsia"/>
          <w:lang w:eastAsia="zh-CN"/>
        </w:rPr>
        <w:t>Tx requirements</w:t>
      </w:r>
      <w:bookmarkEnd w:id="737"/>
      <w:bookmarkEnd w:id="738"/>
      <w:bookmarkEnd w:id="739"/>
      <w:bookmarkEnd w:id="740"/>
      <w:bookmarkEnd w:id="741"/>
      <w:bookmarkEnd w:id="742"/>
    </w:p>
    <w:p>
      <w:pPr>
        <w:pStyle w:val="5"/>
        <w:spacing w:before="120" w:beforeAutospacing="1" w:after="312" w:afterLines="100"/>
        <w:ind w:left="899" w:right="200" w:rightChars="100"/>
        <w:outlineLvl w:val="3"/>
      </w:pPr>
      <w:bookmarkStart w:id="743" w:name="_Toc8518"/>
      <w:bookmarkStart w:id="744" w:name="_Toc26184"/>
      <w:bookmarkStart w:id="745" w:name="_Toc32723"/>
      <w:bookmarkStart w:id="746" w:name="_Toc7264"/>
      <w:bookmarkStart w:id="747" w:name="_Hlk133487315"/>
      <w:bookmarkStart w:id="748" w:name="_Hlk133487102"/>
      <w:bookmarkStart w:id="749" w:name="_Hlk133487218"/>
      <w:r>
        <w:t xml:space="preserve">7.2.2.1 </w:t>
      </w:r>
      <w:r>
        <w:rPr>
          <w:rFonts w:hint="eastAsia"/>
        </w:rPr>
        <w:t>ATG</w:t>
      </w:r>
      <w:r>
        <w:t xml:space="preserve"> </w:t>
      </w:r>
      <w:r>
        <w:rPr>
          <w:rFonts w:hint="eastAsia"/>
        </w:rPr>
        <w:t>Ba</w:t>
      </w:r>
      <w:r>
        <w:t>se station power</w:t>
      </w:r>
      <w:bookmarkEnd w:id="743"/>
      <w:bookmarkEnd w:id="744"/>
      <w:bookmarkEnd w:id="745"/>
      <w:bookmarkEnd w:id="746"/>
      <w:r>
        <w:rPr>
          <w:lang w:eastAsia="zh-CN"/>
        </w:rPr>
        <w:t xml:space="preserve"> </w:t>
      </w:r>
    </w:p>
    <w:p>
      <w:pPr>
        <w:keepLines/>
        <w:rPr>
          <w:rFonts w:eastAsia="MS Mincho"/>
          <w:b/>
          <w:bCs/>
          <w:u w:val="single"/>
          <w:lang w:val="en-US" w:eastAsia="zh-CN"/>
        </w:rPr>
      </w:pPr>
      <w:r>
        <w:rPr>
          <w:rFonts w:eastAsia="MS Mincho"/>
          <w:b/>
          <w:bCs/>
          <w:u w:val="single"/>
          <w:lang w:val="en-US" w:eastAsia="zh-CN"/>
        </w:rPr>
        <w:t>Base station output power</w:t>
      </w:r>
    </w:p>
    <w:p>
      <w:pPr>
        <w:widowControl w:val="0"/>
        <w:spacing w:after="0"/>
      </w:pPr>
      <w:r>
        <w:rPr>
          <w:rFonts w:hint="eastAsia"/>
        </w:rPr>
        <w:t>C</w:t>
      </w:r>
      <w:r>
        <w:t xml:space="preserve">onsidering the large coverage </w:t>
      </w:r>
      <w:r>
        <w:rPr>
          <w:rFonts w:hint="eastAsia"/>
        </w:rPr>
        <w:t>requirement</w:t>
      </w:r>
      <w:r>
        <w:t>s of ATG system</w:t>
      </w:r>
      <w:r>
        <w:rPr>
          <w:rFonts w:hint="eastAsia" w:ascii="SimSun" w:hAnsi="SimSun" w:eastAsia="SimSun" w:cs="SimSun"/>
        </w:rPr>
        <w:t>,</w:t>
      </w:r>
      <w:r>
        <w:rPr>
          <w:rFonts w:ascii="SimSun" w:hAnsi="SimSun" w:eastAsia="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pPr>
        <w:widowControl w:val="0"/>
        <w:spacing w:after="0"/>
        <w:rPr>
          <w:lang w:eastAsia="zh-CN"/>
        </w:rPr>
      </w:pPr>
    </w:p>
    <w:p>
      <w:pPr>
        <w:keepLines/>
        <w:rPr>
          <w:rFonts w:eastAsia="MS Mincho"/>
          <w:b/>
          <w:bCs/>
          <w:u w:val="single"/>
          <w:lang w:val="en-US" w:eastAsia="zh-CN"/>
        </w:rPr>
      </w:pPr>
      <w:r>
        <w:rPr>
          <w:rFonts w:hint="eastAsia" w:eastAsia="MS Mincho"/>
          <w:b/>
          <w:bCs/>
          <w:u w:val="single"/>
          <w:lang w:val="en-US" w:eastAsia="zh-CN"/>
        </w:rPr>
        <w:t>RE power control dynamic range</w:t>
      </w:r>
    </w:p>
    <w:p>
      <w:pPr>
        <w:rPr>
          <w:rFonts w:ascii="Arial" w:hAnsi="Arial" w:eastAsia="Arial"/>
          <w:sz w:val="24"/>
          <w:szCs w:val="22"/>
          <w:lang w:eastAsia="zh-CN"/>
        </w:rPr>
      </w:pPr>
      <w:r>
        <w:t>The RE power control dynamic range is the difference between the power of an RE and the average RE power for a BS at maximum output power for a specified reference condition.</w:t>
      </w:r>
    </w:p>
    <w:p>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pPr>
        <w:widowControl w:val="0"/>
        <w:spacing w:after="0"/>
        <w:rPr>
          <w:lang w:eastAsia="zh-CN"/>
        </w:rPr>
      </w:pPr>
    </w:p>
    <w:p>
      <w:pPr>
        <w:widowControl w:val="0"/>
        <w:spacing w:after="0"/>
        <w:rPr>
          <w:b/>
          <w:bCs/>
          <w:u w:val="single"/>
          <w:lang w:val="en-US" w:eastAsia="zh-CN"/>
        </w:rPr>
      </w:pPr>
      <w:r>
        <w:rPr>
          <w:rFonts w:hint="eastAsia"/>
          <w:b/>
          <w:bCs/>
          <w:u w:val="single"/>
          <w:lang w:val="en-US" w:eastAsia="zh-CN"/>
        </w:rPr>
        <w:t>Total power dynamic range</w:t>
      </w:r>
    </w:p>
    <w:p>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bookmarkEnd w:id="747"/>
    <w:p>
      <w:pPr>
        <w:pStyle w:val="5"/>
        <w:spacing w:before="120" w:beforeAutospacing="1" w:after="312" w:afterLines="100"/>
        <w:ind w:left="899" w:right="200" w:rightChars="100"/>
        <w:outlineLvl w:val="3"/>
      </w:pPr>
      <w:bookmarkStart w:id="750" w:name="_Toc14479"/>
      <w:bookmarkStart w:id="751" w:name="_Toc15102"/>
      <w:bookmarkStart w:id="752" w:name="_Toc25692"/>
      <w:bookmarkStart w:id="753" w:name="_Toc31335"/>
      <w:r>
        <w:t>7.2.2.2 Transmitted signal quality</w:t>
      </w:r>
      <w:bookmarkEnd w:id="750"/>
      <w:bookmarkEnd w:id="751"/>
      <w:bookmarkEnd w:id="752"/>
      <w:bookmarkEnd w:id="753"/>
    </w:p>
    <w:p>
      <w:pPr>
        <w:keepLines/>
        <w:rPr>
          <w:rFonts w:eastAsia="MS Mincho"/>
          <w:b/>
          <w:bCs/>
          <w:u w:val="single"/>
          <w:lang w:val="en-US" w:eastAsia="zh-CN"/>
        </w:rPr>
      </w:pPr>
      <w:r>
        <w:rPr>
          <w:rFonts w:hint="eastAsia" w:eastAsia="MS Mincho"/>
          <w:b/>
          <w:bCs/>
          <w:u w:val="single"/>
          <w:lang w:val="en-US" w:eastAsia="zh-CN"/>
        </w:rPr>
        <w:t>Frequency error</w:t>
      </w:r>
    </w:p>
    <w:p>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hint="eastAsia" w:ascii="SimSun" w:hAnsi="SimSun" w:eastAsia="SimSun"/>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pPr>
        <w:rPr>
          <w:lang w:eastAsia="zh-CN"/>
        </w:rPr>
      </w:pPr>
      <w:r>
        <w:rPr>
          <w:rFonts w:hint="eastAsia" w:eastAsia="SimSun"/>
          <w:lang w:val="en-US" w:eastAsia="zh-CN"/>
        </w:rPr>
        <w:t>C</w:t>
      </w:r>
      <w:r>
        <w:rPr>
          <w:rFonts w:eastAsia="SimSun"/>
          <w:lang w:val="en-US" w:eastAsia="zh-CN"/>
        </w:rPr>
        <w:t xml:space="preserve">onsidering the </w:t>
      </w:r>
      <w:r>
        <w:rPr>
          <w:rFonts w:hint="eastAsia" w:eastAsia="SimSun"/>
          <w:lang w:val="en-US" w:eastAsia="zh-CN"/>
        </w:rPr>
        <w:t>0.05ppm</w:t>
      </w:r>
      <w:r>
        <w:rPr>
          <w:rFonts w:eastAsia="SimSun"/>
          <w:lang w:val="en-US" w:eastAsia="zh-CN"/>
        </w:rPr>
        <w:t xml:space="preserve"> </w:t>
      </w:r>
      <w:r>
        <w:rPr>
          <w:rFonts w:hint="eastAsia" w:eastAsia="SimSun"/>
          <w:lang w:val="en-US" w:eastAsia="zh-CN"/>
        </w:rPr>
        <w:t xml:space="preserve">BS </w:t>
      </w:r>
      <w:r>
        <w:rPr>
          <w:rFonts w:eastAsia="SimSun"/>
          <w:lang w:val="en-US" w:eastAsia="zh-CN"/>
        </w:rPr>
        <w:t>frequency error</w:t>
      </w:r>
      <w:r>
        <w:rPr>
          <w:rFonts w:hint="eastAsia" w:eastAsia="SimSun"/>
          <w:lang w:val="en-US" w:eastAsia="zh-CN"/>
        </w:rPr>
        <w:t>,</w:t>
      </w:r>
      <w:r>
        <w:rPr>
          <w:rFonts w:eastAsia="SimSun"/>
          <w:lang w:val="en-US" w:eastAsia="zh-CN"/>
        </w:rPr>
        <w:t xml:space="preserve"> </w:t>
      </w:r>
      <w:r>
        <w:rPr>
          <w:rFonts w:hint="eastAsia" w:eastAsia="SimSun"/>
          <w:lang w:val="en-US" w:eastAsia="zh-CN"/>
        </w:rPr>
        <w:t>f</w:t>
      </w:r>
      <w:r>
        <w:rPr>
          <w:rFonts w:eastAsia="SimSun"/>
          <w:lang w:val="en-US" w:eastAsia="zh-CN"/>
        </w:rPr>
        <w:t xml:space="preserve">or </w:t>
      </w:r>
      <w:r>
        <w:rPr>
          <w:rFonts w:hint="eastAsia" w:eastAsia="SimSun"/>
          <w:lang w:val="en-US" w:eastAsia="zh-CN"/>
        </w:rPr>
        <w:t>2100</w:t>
      </w:r>
      <w:r>
        <w:rPr>
          <w:rFonts w:eastAsia="SimSun"/>
          <w:lang w:val="en-US" w:eastAsia="zh-CN"/>
        </w:rPr>
        <w:t xml:space="preserve"> </w:t>
      </w:r>
      <w:r>
        <w:rPr>
          <w:rFonts w:hint="eastAsia" w:eastAsia="SimSun"/>
          <w:lang w:val="en-US" w:eastAsia="zh-CN"/>
        </w:rPr>
        <w:t>MHz</w:t>
      </w:r>
      <w:r>
        <w:rPr>
          <w:rFonts w:eastAsia="SimSun"/>
          <w:lang w:val="en-US" w:eastAsia="zh-CN"/>
        </w:rPr>
        <w:t>, it is</w:t>
      </w:r>
      <w:r>
        <w:rPr>
          <w:rFonts w:hint="eastAsia" w:eastAsia="SimSun"/>
          <w:lang w:val="en-US" w:eastAsia="zh-CN"/>
        </w:rPr>
        <w:t xml:space="preserve"> 105</w:t>
      </w:r>
      <w:r>
        <w:rPr>
          <w:rFonts w:eastAsia="SimSun"/>
          <w:lang w:val="en-US" w:eastAsia="zh-CN"/>
        </w:rPr>
        <w:t xml:space="preserve"> </w:t>
      </w:r>
      <w:r>
        <w:rPr>
          <w:rFonts w:hint="eastAsia" w:eastAsia="SimSun"/>
          <w:lang w:val="en-US" w:eastAsia="zh-CN"/>
        </w:rPr>
        <w:t>Hz.</w:t>
      </w:r>
      <w:r>
        <w:rPr>
          <w:rFonts w:eastAsia="SimSun"/>
          <w:lang w:val="en-US" w:eastAsia="zh-CN"/>
        </w:rPr>
        <w:t xml:space="preserve"> </w:t>
      </w:r>
      <w:r>
        <w:rPr>
          <w:rFonts w:hint="eastAsia" w:eastAsia="SimSun"/>
          <w:lang w:val="en-US" w:eastAsia="zh-CN"/>
        </w:rPr>
        <w:t>F</w:t>
      </w:r>
      <w:r>
        <w:rPr>
          <w:rFonts w:eastAsia="SimSun"/>
          <w:lang w:val="en-US" w:eastAsia="zh-CN"/>
        </w:rPr>
        <w:t>or ATG system, UE velocity can be reach up 900</w:t>
      </w:r>
      <w:r>
        <w:rPr>
          <w:rFonts w:hint="eastAsia" w:eastAsia="SimSun"/>
          <w:lang w:val="en-US" w:eastAsia="zh-CN"/>
        </w:rPr>
        <w:t>-</w:t>
      </w:r>
      <w:r>
        <w:rPr>
          <w:rFonts w:eastAsia="SimSun"/>
          <w:lang w:val="en-US" w:eastAsia="zh-CN"/>
        </w:rPr>
        <w:t>1200km</w:t>
      </w:r>
      <w:r>
        <w:rPr>
          <w:rFonts w:hint="eastAsia" w:eastAsia="SimSun"/>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pPr>
        <w:keepLines/>
        <w:rPr>
          <w:rFonts w:ascii="SimSun" w:hAnsi="SimSun" w:eastAsia="SimSun"/>
          <w:b/>
          <w:bCs/>
          <w:u w:val="single"/>
          <w:lang w:val="en-US" w:eastAsia="zh-CN"/>
        </w:rPr>
      </w:pPr>
      <w:r>
        <w:rPr>
          <w:rFonts w:eastAsia="MS Mincho"/>
          <w:b/>
          <w:bCs/>
          <w:u w:val="single"/>
          <w:lang w:val="en-US" w:eastAsia="zh-CN"/>
        </w:rPr>
        <w:t>Time alignment error</w:t>
      </w:r>
    </w:p>
    <w:p>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r>
        <w:t>TAE is only applicable for NR BS transmitting from multiple antennas via MIMO, CA, or combination of them.</w:t>
      </w:r>
    </w:p>
    <w:p>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hint="eastAsia" w:eastAsia="SimSun"/>
          <w:szCs w:val="24"/>
          <w:lang w:val="en-US" w:eastAsia="zh-CN"/>
        </w:rPr>
        <w:t>18</w:t>
      </w:r>
      <w:r>
        <w:rPr>
          <w:rFonts w:eastAsia="SimSun"/>
          <w:szCs w:val="24"/>
        </w:rPr>
        <w:t>.</w:t>
      </w:r>
      <w:r>
        <w:t xml:space="preserve"> As a result, no TAE requirements need to be developed for ATG BS.</w:t>
      </w:r>
    </w:p>
    <w:p>
      <w:pPr>
        <w:keepLines/>
        <w:rPr>
          <w:rFonts w:eastAsia="MS Mincho"/>
          <w:b/>
          <w:bCs/>
          <w:u w:val="single"/>
          <w:lang w:val="en-US" w:eastAsia="zh-CN"/>
        </w:rPr>
      </w:pPr>
      <w:r>
        <w:rPr>
          <w:rFonts w:hint="eastAsia" w:eastAsia="MS Mincho"/>
          <w:b/>
          <w:bCs/>
          <w:u w:val="single"/>
          <w:lang w:val="en-US" w:eastAsia="zh-CN"/>
        </w:rPr>
        <w:t>Modulation quality</w:t>
      </w:r>
    </w:p>
    <w:p>
      <w:pPr>
        <w:rPr>
          <w:rFonts w:eastAsia="SimSun"/>
          <w:lang w:val="en-US" w:eastAsia="zh-CN"/>
        </w:rPr>
      </w:pPr>
      <w:r>
        <w:t>I</w:t>
      </w:r>
      <w:r>
        <w:rPr>
          <w:rFonts w:hint="eastAsia"/>
        </w:rPr>
        <w:t xml:space="preserve">t is agreed to </w:t>
      </w:r>
      <w:r>
        <w:rPr>
          <w:rFonts w:hint="eastAsia" w:eastAsia="SimSun"/>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hint="eastAsia" w:eastAsia="SimSun"/>
          <w:lang w:val="en-US" w:eastAsia="zh-CN"/>
        </w:rPr>
        <w:t>, for the supported modulation order is up to the vendor</w:t>
      </w:r>
      <w:r>
        <w:rPr>
          <w:rFonts w:eastAsia="SimSun"/>
          <w:lang w:val="en-US" w:eastAsia="zh-CN"/>
        </w:rPr>
        <w:t>’</w:t>
      </w:r>
      <w:r>
        <w:rPr>
          <w:rFonts w:hint="eastAsia" w:eastAsia="SimSun"/>
          <w:lang w:val="en-US" w:eastAsia="zh-CN"/>
        </w:rPr>
        <w:t>s declaration.</w:t>
      </w:r>
    </w:p>
    <w:p>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pPr>
        <w:pStyle w:val="5"/>
        <w:spacing w:before="120" w:beforeAutospacing="1" w:after="312" w:afterLines="100"/>
        <w:ind w:left="899" w:right="200" w:rightChars="100"/>
        <w:outlineLvl w:val="3"/>
        <w:rPr>
          <w:lang w:val="en-US" w:eastAsia="zh-CN"/>
        </w:rPr>
      </w:pPr>
      <w:bookmarkStart w:id="754" w:name="_Toc27176"/>
      <w:bookmarkStart w:id="755" w:name="_Toc5749"/>
      <w:bookmarkStart w:id="756" w:name="_Toc20088"/>
      <w:bookmarkStart w:id="757" w:name="_Toc25426"/>
      <w:r>
        <w:t xml:space="preserve">7.2.2.3 </w:t>
      </w:r>
      <w:r>
        <w:rPr>
          <w:lang w:val="en-US" w:eastAsia="zh-CN"/>
        </w:rPr>
        <w:t>Un</w:t>
      </w:r>
      <w:r>
        <w:rPr>
          <w:rFonts w:hint="eastAsia"/>
          <w:lang w:val="en-US" w:eastAsia="zh-CN"/>
        </w:rPr>
        <w:t>wanted emission requirements</w:t>
      </w:r>
      <w:bookmarkEnd w:id="754"/>
      <w:bookmarkEnd w:id="755"/>
      <w:bookmarkEnd w:id="756"/>
      <w:bookmarkEnd w:id="757"/>
    </w:p>
    <w:p>
      <w:pPr>
        <w:keepLines/>
        <w:rPr>
          <w:rFonts w:eastAsia="MS Mincho"/>
          <w:b/>
          <w:bCs/>
          <w:u w:val="single"/>
          <w:lang w:val="en-US" w:eastAsia="zh-CN"/>
        </w:rPr>
      </w:pPr>
      <w:r>
        <w:rPr>
          <w:rFonts w:hint="eastAsia" w:eastAsia="MS Mincho"/>
          <w:b/>
          <w:bCs/>
          <w:u w:val="single"/>
          <w:lang w:val="en-US" w:eastAsia="zh-CN"/>
        </w:rPr>
        <w:t>Occupied bandwidth</w:t>
      </w:r>
    </w:p>
    <w:p>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pPr>
        <w:keepLines/>
        <w:rPr>
          <w:rFonts w:eastAsia="MS Mincho"/>
          <w:b/>
          <w:bCs/>
          <w:u w:val="single"/>
          <w:lang w:val="en-US" w:eastAsia="zh-CN"/>
        </w:rPr>
      </w:pPr>
      <w:r>
        <w:rPr>
          <w:rFonts w:eastAsia="MS Mincho"/>
          <w:b/>
          <w:bCs/>
          <w:u w:val="single"/>
          <w:lang w:val="en-US" w:eastAsia="zh-CN"/>
        </w:rPr>
        <w:t>Adjacent Channel Leakage Power Ratio (ACLR)</w:t>
      </w:r>
    </w:p>
    <w:p>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hint="eastAsia" w:eastAsia="SimSun"/>
          <w:lang w:val="en-US" w:eastAsia="zh-CN"/>
        </w:rPr>
        <w:t>.</w:t>
      </w:r>
    </w:p>
    <w:p>
      <w:pPr>
        <w:keepLines/>
        <w:rPr>
          <w:rFonts w:eastAsia="MS Mincho"/>
          <w:b/>
          <w:bCs/>
          <w:u w:val="single"/>
          <w:lang w:val="en-US" w:eastAsia="zh-CN"/>
        </w:rPr>
      </w:pPr>
      <w:r>
        <w:rPr>
          <w:rFonts w:eastAsia="MS Mincho"/>
          <w:b/>
          <w:bCs/>
          <w:u w:val="single"/>
          <w:lang w:val="en-US" w:eastAsia="zh-CN"/>
        </w:rPr>
        <w:t>Operating band unwanted emissions</w:t>
      </w:r>
    </w:p>
    <w:p>
      <w:pPr>
        <w:rPr>
          <w:lang w:val="en-US"/>
        </w:rPr>
      </w:pPr>
      <w:r>
        <w:rPr>
          <w:lang w:val="en-US"/>
        </w:rPr>
        <w:t xml:space="preserve">ATG BS can follow Wide Area BS, that the UEM level in the spurious domain is aligned with ITU-R recommendation SM.329. </w:t>
      </w:r>
      <w:bookmarkEnd w:id="748"/>
    </w:p>
    <w:bookmarkEnd w:id="749"/>
    <w:p>
      <w:pPr>
        <w:pStyle w:val="5"/>
      </w:pPr>
      <w:bookmarkStart w:id="758" w:name="_Toc31410"/>
      <w:bookmarkStart w:id="759" w:name="_Toc16769"/>
      <w:bookmarkStart w:id="760" w:name="_Toc27202"/>
      <w:bookmarkStart w:id="761" w:name="_Toc133498169"/>
      <w:bookmarkStart w:id="762" w:name="_Toc10271"/>
      <w:bookmarkStart w:id="763" w:name="_Toc19452"/>
      <w:r>
        <w:t>7.2.2.4 Transmitter spurious emissions</w:t>
      </w:r>
      <w:bookmarkEnd w:id="758"/>
      <w:bookmarkEnd w:id="759"/>
      <w:bookmarkEnd w:id="760"/>
      <w:bookmarkEnd w:id="761"/>
      <w:bookmarkEnd w:id="762"/>
      <w:bookmarkEnd w:id="763"/>
    </w:p>
    <w:p>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pPr>
        <w:pStyle w:val="5"/>
      </w:pPr>
      <w:bookmarkStart w:id="764" w:name="_Toc26151"/>
      <w:bookmarkStart w:id="765" w:name="_Toc25516"/>
      <w:bookmarkStart w:id="766" w:name="_Toc133498170"/>
      <w:bookmarkStart w:id="767" w:name="_Toc16560"/>
      <w:bookmarkStart w:id="768" w:name="_Toc13904"/>
      <w:bookmarkStart w:id="769" w:name="_Toc24084"/>
      <w:r>
        <w:t>7.2.2.5 Transmitter intermodulation</w:t>
      </w:r>
      <w:bookmarkEnd w:id="764"/>
      <w:bookmarkEnd w:id="765"/>
      <w:bookmarkEnd w:id="766"/>
      <w:bookmarkEnd w:id="767"/>
      <w:bookmarkEnd w:id="768"/>
      <w:bookmarkEnd w:id="769"/>
    </w:p>
    <w:p>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pPr>
        <w:pStyle w:val="4"/>
        <w:rPr>
          <w:lang w:eastAsia="zh-CN"/>
        </w:rPr>
      </w:pPr>
      <w:bookmarkStart w:id="770" w:name="_Toc5464"/>
      <w:bookmarkStart w:id="771" w:name="_Toc3413"/>
      <w:bookmarkStart w:id="772" w:name="_Toc14563"/>
      <w:bookmarkStart w:id="773" w:name="_Toc23355"/>
      <w:bookmarkStart w:id="774" w:name="_Toc133498171"/>
      <w:bookmarkStart w:id="775" w:name="_Toc30061"/>
      <w:r>
        <w:rPr>
          <w:rFonts w:hint="eastAsia"/>
        </w:rPr>
        <w:t>7.2.</w:t>
      </w:r>
      <w:r>
        <w:rPr>
          <w:rFonts w:hint="eastAsia"/>
          <w:lang w:eastAsia="zh-CN"/>
        </w:rPr>
        <w:t>3</w:t>
      </w:r>
      <w:r>
        <w:rPr>
          <w:rFonts w:hint="eastAsia"/>
        </w:rPr>
        <w:t xml:space="preserve"> </w:t>
      </w:r>
      <w:r>
        <w:rPr>
          <w:rFonts w:hint="eastAsia"/>
          <w:lang w:eastAsia="zh-CN"/>
        </w:rPr>
        <w:t>Rx requirements</w:t>
      </w:r>
      <w:bookmarkEnd w:id="770"/>
      <w:bookmarkEnd w:id="771"/>
      <w:bookmarkEnd w:id="772"/>
      <w:bookmarkEnd w:id="773"/>
      <w:bookmarkEnd w:id="774"/>
      <w:bookmarkEnd w:id="775"/>
    </w:p>
    <w:p>
      <w:pPr>
        <w:pStyle w:val="5"/>
        <w:keepNext/>
        <w:keepLines/>
        <w:spacing w:before="120" w:after="240"/>
        <w:outlineLvl w:val="3"/>
      </w:pPr>
      <w:bookmarkStart w:id="776" w:name="_Toc7878"/>
      <w:bookmarkStart w:id="777" w:name="_Toc3620"/>
      <w:bookmarkStart w:id="778" w:name="_Toc17455"/>
      <w:bookmarkStart w:id="779" w:name="_Toc32424"/>
      <w:r>
        <w:t xml:space="preserve">7.2.3.1 </w:t>
      </w:r>
      <w:bookmarkStart w:id="780" w:name="_Hlk131952176"/>
      <w:r>
        <w:t>Reference sensitivity level</w:t>
      </w:r>
      <w:bookmarkEnd w:id="776"/>
      <w:bookmarkEnd w:id="777"/>
      <w:bookmarkEnd w:id="778"/>
      <w:bookmarkEnd w:id="779"/>
      <w:bookmarkEnd w:id="780"/>
    </w:p>
    <w:p>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pPr>
        <w:pStyle w:val="5"/>
        <w:keepNext/>
        <w:keepLines/>
        <w:spacing w:before="120" w:after="240"/>
        <w:outlineLvl w:val="3"/>
      </w:pPr>
      <w:bookmarkStart w:id="781" w:name="_Toc19801"/>
      <w:bookmarkStart w:id="782" w:name="_Toc32469"/>
      <w:bookmarkStart w:id="783" w:name="_Toc6171"/>
      <w:bookmarkStart w:id="784" w:name="_Toc24153"/>
      <w:r>
        <w:t>7.2.3.2 Dynamic range</w:t>
      </w:r>
      <w:bookmarkEnd w:id="781"/>
      <w:bookmarkEnd w:id="782"/>
      <w:bookmarkEnd w:id="783"/>
      <w:bookmarkEnd w:id="784"/>
    </w:p>
    <w:p>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785" w:name="_Hlk134979679"/>
      <w:r>
        <w:rPr>
          <w:rFonts w:eastAsia="SimSun"/>
        </w:rPr>
        <w:t>The existing requirements specified in clause 7.3 of TS 38.104[5] can be reused for ATG BS type1-C, 1-H, and clause 10.4 of TS 38.104[5] can be reused for ATG BS type1-O.</w:t>
      </w:r>
      <w:bookmarkEnd w:id="785"/>
    </w:p>
    <w:p>
      <w:pPr>
        <w:pStyle w:val="5"/>
        <w:keepNext/>
        <w:keepLines/>
        <w:spacing w:before="120" w:after="240"/>
        <w:outlineLvl w:val="3"/>
      </w:pPr>
      <w:bookmarkStart w:id="786" w:name="_Toc4377"/>
      <w:bookmarkStart w:id="787" w:name="_Toc29171"/>
      <w:bookmarkStart w:id="788" w:name="_Toc133498172"/>
      <w:bookmarkStart w:id="789" w:name="_Toc20858"/>
      <w:bookmarkStart w:id="790" w:name="_Toc31217"/>
      <w:r>
        <w:t>7.2.3.3 ACS</w:t>
      </w:r>
      <w:bookmarkEnd w:id="786"/>
      <w:bookmarkEnd w:id="787"/>
      <w:bookmarkEnd w:id="788"/>
      <w:bookmarkEnd w:id="789"/>
      <w:bookmarkEnd w:id="790"/>
    </w:p>
    <w:p>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pPr>
        <w:pStyle w:val="5"/>
        <w:keepNext/>
        <w:keepLines/>
        <w:overflowPunct/>
        <w:autoSpaceDE/>
        <w:autoSpaceDN/>
        <w:adjustRightInd/>
        <w:spacing w:before="120" w:after="240"/>
        <w:textAlignment w:val="auto"/>
        <w:outlineLvl w:val="3"/>
        <w:rPr>
          <w:lang w:eastAsia="en-US"/>
        </w:rPr>
      </w:pPr>
      <w:bookmarkStart w:id="791" w:name="_Toc31213"/>
      <w:bookmarkStart w:id="792" w:name="_Toc17771"/>
      <w:bookmarkStart w:id="793" w:name="_Toc26157"/>
      <w:bookmarkStart w:id="794" w:name="_Toc8462"/>
      <w:r>
        <w:rPr>
          <w:lang w:eastAsia="en-US"/>
        </w:rPr>
        <w:t>7.2.3.4 In-band blocking</w:t>
      </w:r>
      <w:bookmarkEnd w:id="791"/>
      <w:bookmarkEnd w:id="792"/>
      <w:bookmarkEnd w:id="793"/>
      <w:bookmarkEnd w:id="794"/>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pPr>
        <w:pStyle w:val="5"/>
        <w:keepNext/>
        <w:keepLines/>
        <w:overflowPunct/>
        <w:autoSpaceDE/>
        <w:autoSpaceDN/>
        <w:adjustRightInd/>
        <w:spacing w:before="120" w:after="240"/>
        <w:textAlignment w:val="auto"/>
        <w:outlineLvl w:val="3"/>
        <w:rPr>
          <w:lang w:eastAsia="en-US"/>
        </w:rPr>
      </w:pPr>
      <w:bookmarkStart w:id="795" w:name="_Toc21895"/>
      <w:bookmarkStart w:id="796" w:name="_Toc4545"/>
      <w:bookmarkStart w:id="797" w:name="_Toc20605"/>
      <w:bookmarkStart w:id="798" w:name="_Toc22691"/>
      <w:r>
        <w:rPr>
          <w:lang w:eastAsia="en-US"/>
        </w:rPr>
        <w:t>7.2.3.5 Receiver intermodulation</w:t>
      </w:r>
      <w:bookmarkEnd w:id="795"/>
      <w:bookmarkEnd w:id="796"/>
      <w:bookmarkEnd w:id="797"/>
      <w:bookmarkEnd w:id="798"/>
    </w:p>
    <w:p>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hint="eastAsia" w:eastAsia="SimSun"/>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hint="eastAsia" w:eastAsia="SimSun"/>
          <w:lang w:val="en-US" w:eastAsia="zh-CN"/>
        </w:rPr>
        <w:t xml:space="preserve"> and it is agreed to reuse </w:t>
      </w:r>
      <w:r>
        <w:rPr>
          <w:rFonts w:eastAsia="SimSun"/>
          <w:lang w:val="en-US" w:eastAsia="zh-CN"/>
        </w:rPr>
        <w:t xml:space="preserve">the </w:t>
      </w:r>
      <w:r>
        <w:rPr>
          <w:rFonts w:hint="eastAsia" w:eastAsia="SimSun"/>
          <w:lang w:val="en-US" w:eastAsia="zh-CN"/>
        </w:rPr>
        <w:t>Rx IM requirement for FR1 WA BS for ATG BS.</w:t>
      </w:r>
    </w:p>
    <w:p>
      <w:pPr>
        <w:pStyle w:val="5"/>
        <w:keepNext/>
        <w:keepLines/>
        <w:overflowPunct/>
        <w:autoSpaceDE/>
        <w:autoSpaceDN/>
        <w:adjustRightInd/>
        <w:spacing w:before="120" w:after="240"/>
        <w:textAlignment w:val="auto"/>
        <w:outlineLvl w:val="3"/>
        <w:rPr>
          <w:lang w:eastAsia="en-US"/>
        </w:rPr>
      </w:pPr>
      <w:bookmarkStart w:id="799" w:name="_Toc15114"/>
      <w:bookmarkStart w:id="800" w:name="_Toc29726"/>
      <w:bookmarkStart w:id="801" w:name="_Toc4780"/>
      <w:bookmarkStart w:id="802" w:name="_Toc19358"/>
      <w:r>
        <w:rPr>
          <w:lang w:eastAsia="en-US"/>
        </w:rPr>
        <w:t>7.2.3.6 Out of band blocking</w:t>
      </w:r>
      <w:bookmarkEnd w:id="799"/>
      <w:bookmarkEnd w:id="800"/>
      <w:bookmarkEnd w:id="801"/>
      <w:bookmarkEnd w:id="802"/>
      <w:r>
        <w:rPr>
          <w:lang w:eastAsia="en-US"/>
        </w:rPr>
        <w:tab/>
      </w:r>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pPr>
        <w:pStyle w:val="5"/>
        <w:keepNext/>
        <w:keepLines/>
        <w:overflowPunct/>
        <w:autoSpaceDE/>
        <w:autoSpaceDN/>
        <w:adjustRightInd/>
        <w:spacing w:before="120" w:after="240"/>
        <w:textAlignment w:val="auto"/>
        <w:outlineLvl w:val="3"/>
        <w:rPr>
          <w:lang w:eastAsia="en-US"/>
        </w:rPr>
      </w:pPr>
      <w:bookmarkStart w:id="803" w:name="_Toc746"/>
      <w:bookmarkStart w:id="804" w:name="_Toc17288"/>
      <w:bookmarkStart w:id="805" w:name="_Toc15365"/>
      <w:bookmarkStart w:id="806" w:name="_Toc12615"/>
      <w:r>
        <w:rPr>
          <w:lang w:eastAsia="en-US"/>
        </w:rPr>
        <w:t>7.2.3.7 In-channel selectivity</w:t>
      </w:r>
      <w:bookmarkEnd w:id="803"/>
      <w:bookmarkEnd w:id="804"/>
      <w:bookmarkEnd w:id="805"/>
      <w:bookmarkEnd w:id="806"/>
    </w:p>
    <w:p>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pPr>
        <w:pStyle w:val="2"/>
        <w:rPr>
          <w:lang w:val="sv-SE" w:eastAsia="zh-CN"/>
        </w:rPr>
      </w:pPr>
      <w:bookmarkStart w:id="807" w:name="_Toc133498177"/>
      <w:bookmarkStart w:id="808" w:name="_Toc20306"/>
      <w:bookmarkStart w:id="809" w:name="_Toc21100"/>
      <w:bookmarkStart w:id="810" w:name="_Toc2877"/>
      <w:bookmarkStart w:id="811" w:name="_Toc13470"/>
      <w:bookmarkStart w:id="812" w:name="_Toc12855"/>
      <w:r>
        <w:rPr>
          <w:rFonts w:hint="eastAsia"/>
          <w:lang w:val="sv-SE" w:eastAsia="zh-CN"/>
        </w:rPr>
        <w:t>8</w:t>
      </w:r>
      <w:r>
        <w:rPr>
          <w:lang w:val="sv-SE"/>
        </w:rPr>
        <w:tab/>
      </w:r>
      <w:r>
        <w:rPr>
          <w:rFonts w:hint="eastAsia"/>
          <w:lang w:val="sv-SE" w:eastAsia="zh-CN"/>
        </w:rPr>
        <w:t>RRM requirements</w:t>
      </w:r>
      <w:bookmarkEnd w:id="807"/>
      <w:bookmarkEnd w:id="808"/>
      <w:bookmarkEnd w:id="809"/>
      <w:bookmarkEnd w:id="810"/>
      <w:bookmarkEnd w:id="811"/>
      <w:bookmarkEnd w:id="812"/>
    </w:p>
    <w:p>
      <w:pPr>
        <w:pStyle w:val="3"/>
        <w:keepNext/>
        <w:keepLines/>
        <w:spacing w:before="120"/>
        <w:ind w:left="1134"/>
        <w:outlineLvl w:val="2"/>
      </w:pPr>
      <w:bookmarkStart w:id="813" w:name="_Toc17892"/>
      <w:bookmarkStart w:id="814" w:name="_Toc788"/>
      <w:bookmarkStart w:id="815" w:name="_Toc13053"/>
      <w:bookmarkStart w:id="816" w:name="_Toc3792"/>
      <w:r>
        <w:t>8.1 General</w:t>
      </w:r>
      <w:bookmarkEnd w:id="813"/>
      <w:bookmarkEnd w:id="814"/>
      <w:bookmarkEnd w:id="815"/>
      <w:bookmarkEnd w:id="816"/>
    </w:p>
    <w:p>
      <w:pPr>
        <w:overflowPunct/>
        <w:autoSpaceDE/>
        <w:autoSpaceDN/>
        <w:adjustRightInd/>
        <w:spacing w:after="0"/>
        <w:jc w:val="both"/>
        <w:textAlignment w:val="auto"/>
        <w:rPr>
          <w:rFonts w:eastAsia="SimSun" w:cs="Courier New"/>
          <w:szCs w:val="24"/>
          <w:lang w:val="en-US" w:eastAsia="zh-CN"/>
        </w:rPr>
      </w:pPr>
      <w:r>
        <w:rPr>
          <w:rFonts w:hint="eastAsia" w:eastAsia="SimSun" w:cs="Courier New"/>
          <w:szCs w:val="24"/>
          <w:lang w:val="en-US" w:eastAsia="zh-CN"/>
        </w:rPr>
        <w:t>I</w:t>
      </w:r>
      <w:r>
        <w:rPr>
          <w:rFonts w:eastAsia="SimSun"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pPr>
        <w:overflowPunct/>
        <w:autoSpaceDE/>
        <w:autoSpaceDN/>
        <w:adjustRightInd/>
        <w:spacing w:after="0"/>
        <w:jc w:val="both"/>
        <w:textAlignment w:val="auto"/>
        <w:rPr>
          <w:rFonts w:eastAsia="SimSun" w:cs="Courier New"/>
          <w:szCs w:val="24"/>
          <w:lang w:val="en-US" w:eastAsia="zh-CN"/>
        </w:rPr>
      </w:pPr>
      <w:r>
        <w:rPr>
          <w:rFonts w:eastAsia="SimSun" w:cs="Courier New"/>
          <w:szCs w:val="24"/>
          <w:lang w:val="en-US" w:eastAsia="zh-CN"/>
        </w:rPr>
        <w:t xml:space="preserve">&lt;Editor’s </w:t>
      </w:r>
      <w:r>
        <w:rPr>
          <w:rFonts w:hint="eastAsia" w:eastAsia="SimSun" w:cs="Courier New"/>
          <w:szCs w:val="24"/>
          <w:lang w:val="en-US" w:eastAsia="zh-CN"/>
        </w:rPr>
        <w:t>N</w:t>
      </w:r>
      <w:r>
        <w:rPr>
          <w:rFonts w:eastAsia="SimSun" w:cs="Courier New"/>
          <w:szCs w:val="24"/>
          <w:lang w:val="en-US" w:eastAsia="zh-CN"/>
        </w:rPr>
        <w:t xml:space="preserve">ote: In table 8-1, the RRM requirements with square brackets are still under discussion, which may be updated according to the latest agreements. </w:t>
      </w:r>
    </w:p>
    <w:p>
      <w:pPr>
        <w:overflowPunct/>
        <w:autoSpaceDE/>
        <w:autoSpaceDN/>
        <w:adjustRightInd/>
        <w:spacing w:after="0"/>
        <w:jc w:val="center"/>
        <w:textAlignment w:val="auto"/>
        <w:rPr>
          <w:rFonts w:ascii="Arial" w:hAnsi="Arial" w:eastAsia="SimSun" w:cs="Arial"/>
          <w:b/>
          <w:bCs/>
          <w:szCs w:val="24"/>
          <w:lang w:val="en-US" w:eastAsia="zh-CN"/>
        </w:rPr>
      </w:pPr>
      <w:r>
        <w:rPr>
          <w:rFonts w:hint="default" w:ascii="Arial" w:hAnsi="Arial" w:eastAsia="SimSun" w:cs="Arial"/>
          <w:b/>
          <w:bCs/>
          <w:szCs w:val="24"/>
          <w:lang w:val="en-US" w:eastAsia="zh-CN"/>
        </w:rPr>
        <w:t>T</w:t>
      </w:r>
      <w:r>
        <w:rPr>
          <w:rFonts w:ascii="Arial" w:hAnsi="Arial" w:eastAsia="SimSun" w:cs="Arial"/>
          <w:b/>
          <w:bCs/>
          <w:szCs w:val="24"/>
          <w:lang w:val="en-US" w:eastAsia="zh-CN"/>
        </w:rPr>
        <w:t>able 8-1: RRM requirements for R18 ATG which are different from legacy ground-based network requirements</w:t>
      </w:r>
    </w:p>
    <w:tbl>
      <w:tblPr>
        <w:tblStyle w:val="1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119"/>
        <w:gridCol w:w="3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38" w:type="dxa"/>
            <w:vAlign w:val="center"/>
          </w:tcPr>
          <w:p>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Requirement</w:t>
            </w:r>
          </w:p>
        </w:tc>
        <w:tc>
          <w:tcPr>
            <w:tcW w:w="3119" w:type="dxa"/>
          </w:tcPr>
          <w:p>
            <w:pPr>
              <w:overflowPunct/>
              <w:autoSpaceDE/>
              <w:autoSpaceDN/>
              <w:adjustRightInd/>
              <w:spacing w:after="0"/>
              <w:textAlignment w:val="auto"/>
              <w:rPr>
                <w:rFonts w:eastAsia="SimSun" w:cs="Arial"/>
                <w:szCs w:val="24"/>
                <w:lang w:val="en-US" w:eastAsia="zh-CN"/>
              </w:rPr>
            </w:pPr>
            <w:r>
              <w:rPr>
                <w:rFonts w:hint="eastAsia" w:eastAsia="SimSun" w:cs="Arial"/>
                <w:szCs w:val="24"/>
                <w:lang w:val="en-US" w:eastAsia="zh-CN"/>
              </w:rPr>
              <w:t>I</w:t>
            </w:r>
            <w:r>
              <w:rPr>
                <w:rFonts w:eastAsia="SimSun" w:cs="Arial"/>
                <w:szCs w:val="24"/>
                <w:lang w:val="en-US" w:eastAsia="zh-CN"/>
              </w:rPr>
              <w:t>tem</w:t>
            </w:r>
          </w:p>
        </w:tc>
        <w:tc>
          <w:tcPr>
            <w:tcW w:w="3118" w:type="dxa"/>
            <w:vAlign w:val="center"/>
          </w:tcPr>
          <w:p>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Cell re-selection</w:t>
            </w:r>
          </w:p>
        </w:tc>
        <w:tc>
          <w:tcPr>
            <w:tcW w:w="3119" w:type="dxa"/>
            <w:vAlign w:val="top"/>
          </w:tcPr>
          <w:p>
            <w:pPr>
              <w:overflowPunct/>
              <w:autoSpaceDE/>
              <w:autoSpaceDN/>
              <w:adjustRightInd/>
              <w:spacing w:after="0"/>
              <w:textAlignment w:val="auto"/>
              <w:rPr>
                <w:rFonts w:ascii="Times New Roman" w:hAnsi="Times New Roman" w:eastAsia="Times New Roman" w:cs="Courier New"/>
                <w:szCs w:val="24"/>
                <w:lang w:val="en-US" w:eastAsia="zh-CN" w:bidi="ar-SA"/>
              </w:rPr>
            </w:pPr>
            <w:r>
              <w:rPr>
                <w:rFonts w:cs="Courier New"/>
                <w:szCs w:val="24"/>
                <w:lang w:val="en-US" w:eastAsia="zh-CN"/>
              </w:rPr>
              <w:t>Cell re-selection measurement requirements for int</w:t>
            </w:r>
            <w:r>
              <w:rPr>
                <w:rFonts w:hint="eastAsia" w:cs="Courier New"/>
                <w:szCs w:val="24"/>
                <w:lang w:val="en-US" w:eastAsia="zh-CN"/>
              </w:rPr>
              <w:t>ra</w:t>
            </w:r>
            <w:r>
              <w:rPr>
                <w:rFonts w:cs="Courier New"/>
                <w:szCs w:val="24"/>
                <w:lang w:val="en-US" w:eastAsia="zh-CN"/>
              </w:rPr>
              <w:t>-frequency measurement</w:t>
            </w:r>
          </w:p>
        </w:tc>
        <w:tc>
          <w:tcPr>
            <w:tcW w:w="3118" w:type="dxa"/>
            <w:vAlign w:val="top"/>
          </w:tcPr>
          <w:p>
            <w:pPr>
              <w:pStyle w:val="106"/>
              <w:numPr>
                <w:ilvl w:val="255"/>
                <w:numId w:val="0"/>
              </w:numPr>
              <w:spacing w:after="180"/>
              <w:rPr>
                <w:rFonts w:ascii="Times New Roman" w:hAnsi="Times New Roman" w:eastAsia="SimSun"/>
                <w:szCs w:val="20"/>
                <w:lang w:eastAsia="ja-JP"/>
              </w:rPr>
            </w:pPr>
            <w:r>
              <w:rPr>
                <w:rFonts w:hint="eastAsia" w:ascii="Times New Roman" w:hAnsi="Times New Roman" w:eastAsia="SimSun"/>
                <w:szCs w:val="20"/>
                <w:lang w:eastAsia="ja-JP"/>
              </w:rPr>
              <w:t xml:space="preserve">Introduce </w:t>
            </w:r>
            <w:r>
              <w:rPr>
                <w:rFonts w:hint="eastAsia" w:ascii="Times New Roman" w:hAnsi="Times New Roman" w:eastAsia="SimSun"/>
                <w:szCs w:val="20"/>
              </w:rPr>
              <w:t>scaling factor N for L3 measurements for ATG UEs with [antenna arrays]</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 xml:space="preserve">N = </w:t>
            </w:r>
            <w:r>
              <w:rPr>
                <w:rFonts w:hint="eastAsia" w:ascii="Times New Roman" w:hAnsi="Times New Roman" w:eastAsia="SimSun"/>
                <w:szCs w:val="20"/>
                <w:lang w:val="en-US"/>
              </w:rPr>
              <w:t>3</w:t>
            </w:r>
            <w:r>
              <w:rPr>
                <w:rFonts w:hint="eastAsia" w:ascii="Times New Roman" w:hAnsi="Times New Roman" w:eastAsia="SimSun"/>
                <w:szCs w:val="20"/>
              </w:rPr>
              <w:t xml:space="preserve"> for the case when network assistance on ATG cells reference locations is provided</w:t>
            </w:r>
          </w:p>
          <w:p>
            <w:pPr>
              <w:pStyle w:val="106"/>
              <w:numPr>
                <w:ilvl w:val="0"/>
                <w:numId w:val="9"/>
              </w:numPr>
              <w:spacing w:after="180"/>
              <w:ind w:left="-24" w:leftChars="0" w:firstLine="400" w:firstLineChars="200"/>
              <w:rPr>
                <w:rFonts w:ascii="等线" w:hAnsi="等线" w:eastAsia="SimSun" w:cs="Courier New"/>
                <w:iCs/>
                <w:szCs w:val="24"/>
                <w:lang w:val="en-US" w:eastAsia="zh-CN" w:bidi="ar-SA"/>
              </w:rPr>
            </w:pPr>
            <w:r>
              <w:rPr>
                <w:rFonts w:hint="eastAsia" w:ascii="Times New Roman" w:hAnsi="Times New Roman" w:eastAsia="SimSun"/>
                <w:szCs w:val="20"/>
              </w:rPr>
              <w:t>N = 4 otherwise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9" w:hRule="atLeast"/>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vAlign w:val="top"/>
          </w:tcPr>
          <w:p>
            <w:pPr>
              <w:overflowPunct/>
              <w:autoSpaceDE/>
              <w:autoSpaceDN/>
              <w:adjustRightInd/>
              <w:spacing w:after="0"/>
              <w:textAlignment w:val="auto"/>
              <w:rPr>
                <w:rFonts w:ascii="Times New Roman" w:hAnsi="Times New Roman" w:eastAsia="SimSun" w:cs="Courier New"/>
                <w:szCs w:val="24"/>
                <w:lang w:val="en-US" w:eastAsia="zh-CN" w:bidi="ar-SA"/>
              </w:rPr>
            </w:pPr>
            <w:r>
              <w:rPr>
                <w:rFonts w:cs="Courier New"/>
                <w:szCs w:val="24"/>
                <w:lang w:val="en-US" w:eastAsia="zh-CN"/>
              </w:rPr>
              <w:t>Cell re-selection measurement requirements for inter-frequency measurement</w:t>
            </w:r>
          </w:p>
        </w:tc>
        <w:tc>
          <w:tcPr>
            <w:tcW w:w="3118" w:type="dxa"/>
            <w:vAlign w:val="top"/>
          </w:tcPr>
          <w:p>
            <w:pPr>
              <w:overflowPunct/>
              <w:autoSpaceDE/>
              <w:autoSpaceDN/>
              <w:adjustRightInd/>
              <w:spacing w:after="0"/>
              <w:textAlignment w:val="auto"/>
              <w:rPr>
                <w:rFonts w:eastAsia="SimSun" w:cs="Courier New"/>
                <w:lang w:val="en-US" w:eastAsia="zh-CN"/>
              </w:rPr>
            </w:pPr>
            <w:r>
              <w:rPr>
                <w:rFonts w:eastAsia="SimSun" w:cs="Courier New"/>
                <w:iCs/>
                <w:lang w:val="en-US" w:eastAsia="zh-CN"/>
              </w:rPr>
              <w:t>Define two set of cell detection requirements for ATG</w:t>
            </w:r>
          </w:p>
          <w:p>
            <w:pPr>
              <w:numPr>
                <w:ilvl w:val="0"/>
                <w:numId w:val="10"/>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 xml:space="preserve">Set 1: legacy R15 cell-reselection requirement </w:t>
            </w:r>
          </w:p>
          <w:p>
            <w:pPr>
              <w:numPr>
                <w:ilvl w:val="0"/>
                <w:numId w:val="10"/>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Set 2: R17 HST cell-reselection requirement</w:t>
            </w:r>
          </w:p>
          <w:p>
            <w:pPr>
              <w:pStyle w:val="106"/>
              <w:numPr>
                <w:ilvl w:val="255"/>
                <w:numId w:val="0"/>
              </w:numPr>
              <w:spacing w:after="180"/>
              <w:rPr>
                <w:rFonts w:ascii="Times New Roman" w:hAnsi="Times New Roman" w:eastAsia="SimSun"/>
                <w:szCs w:val="20"/>
                <w:lang w:eastAsia="ja-JP"/>
              </w:rPr>
            </w:pPr>
            <w:r>
              <w:rPr>
                <w:rFonts w:hint="eastAsia" w:ascii="Times New Roman" w:hAnsi="Times New Roman" w:eastAsia="SimSun"/>
                <w:szCs w:val="20"/>
                <w:lang w:eastAsia="ja-JP"/>
              </w:rPr>
              <w:t xml:space="preserve">Introduce </w:t>
            </w:r>
            <w:r>
              <w:rPr>
                <w:rFonts w:hint="eastAsia" w:ascii="Times New Roman" w:hAnsi="Times New Roman" w:eastAsia="SimSun"/>
                <w:szCs w:val="20"/>
              </w:rPr>
              <w:t>scaling factor N for L3 measurements for ATG UEs with [antenna arrays]</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 xml:space="preserve">N = </w:t>
            </w:r>
            <w:r>
              <w:rPr>
                <w:rFonts w:hint="eastAsia" w:ascii="Times New Roman" w:hAnsi="Times New Roman" w:eastAsia="SimSun"/>
                <w:szCs w:val="20"/>
                <w:lang w:val="en-US"/>
              </w:rPr>
              <w:t>3</w:t>
            </w:r>
            <w:r>
              <w:rPr>
                <w:rFonts w:hint="eastAsia" w:ascii="Times New Roman" w:hAnsi="Times New Roman" w:eastAsia="SimSun"/>
                <w:szCs w:val="20"/>
              </w:rPr>
              <w:t xml:space="preserve"> for the case when network assistance on ATG cells reference locations is provided</w:t>
            </w:r>
          </w:p>
          <w:p>
            <w:pPr>
              <w:pStyle w:val="106"/>
              <w:numPr>
                <w:ilvl w:val="0"/>
                <w:numId w:val="9"/>
              </w:numPr>
              <w:spacing w:after="180"/>
              <w:ind w:left="-24"/>
              <w:rPr>
                <w:rFonts w:ascii="Times New Roman" w:hAnsi="Times New Roman" w:eastAsia="SimSun" w:cs="Courier New"/>
                <w:iCs/>
                <w:szCs w:val="24"/>
                <w:lang w:val="en-US" w:eastAsia="zh-CN" w:bidi="ar-SA"/>
              </w:rPr>
            </w:pPr>
            <w:r>
              <w:rPr>
                <w:rFonts w:hint="eastAsia" w:ascii="Times New Roman" w:hAnsi="Times New Roman" w:eastAsia="SimSun"/>
                <w:szCs w:val="20"/>
              </w:rPr>
              <w:t>N = 4 otherwise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Handover</w:t>
            </w: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Interruption time</w:t>
            </w:r>
          </w:p>
        </w:tc>
        <w:tc>
          <w:tcPr>
            <w:tcW w:w="3118" w:type="dxa"/>
          </w:tcPr>
          <w:p>
            <w:pPr>
              <w:overflowPunct/>
              <w:autoSpaceDE/>
              <w:autoSpaceDN/>
              <w:adjustRightInd/>
              <w:spacing w:after="0"/>
              <w:textAlignment w:val="auto"/>
              <w:rPr>
                <w:rFonts w:hint="eastAsia" w:eastAsia="SimSun" w:cs="Courier New"/>
                <w:szCs w:val="24"/>
                <w:lang w:val="en-US" w:eastAsia="zh-CN"/>
              </w:rPr>
            </w:pPr>
            <w:r>
              <w:rPr>
                <w:rFonts w:hint="eastAsia" w:eastAsia="SimSun" w:cs="Courier New"/>
                <w:szCs w:val="24"/>
                <w:lang w:val="en-US" w:eastAsia="zh-CN"/>
              </w:rPr>
              <w:t xml:space="preserve">Fpr ATG UE with [antenna arrays], </w:t>
            </w:r>
          </w:p>
          <w:p>
            <w:pPr>
              <w:overflowPunct/>
              <w:autoSpaceDE/>
              <w:autoSpaceDN/>
              <w:adjustRightInd/>
              <w:spacing w:after="0"/>
              <w:textAlignment w:val="auto"/>
              <w:rPr>
                <w:rFonts w:hint="eastAsia" w:eastAsia="SimSun" w:cs="Courier New"/>
                <w:szCs w:val="24"/>
                <w:lang w:val="en-US" w:eastAsia="zh-CN"/>
              </w:rPr>
            </w:pPr>
            <w:r>
              <w:rPr>
                <w:rFonts w:hint="eastAsia" w:eastAsia="SimSun" w:cs="Courier New"/>
                <w:szCs w:val="24"/>
                <w:lang w:val="en-US" w:eastAsia="zh-CN"/>
              </w:rPr>
              <w:t>when network assistance on ATG unknown target cell</w:t>
            </w:r>
            <w:r>
              <w:rPr>
                <w:rFonts w:hint="default" w:eastAsia="SimSun" w:cs="Courier New"/>
                <w:szCs w:val="24"/>
                <w:lang w:val="en-US" w:eastAsia="zh-CN"/>
              </w:rPr>
              <w:t>’</w:t>
            </w:r>
            <w:r>
              <w:rPr>
                <w:rFonts w:hint="eastAsia" w:eastAsia="SimSun" w:cs="Courier New"/>
                <w:szCs w:val="24"/>
                <w:lang w:val="en-US" w:eastAsia="zh-CN"/>
              </w:rPr>
              <w:t>s reference BS locations is provided, the T</w:t>
            </w:r>
            <w:r>
              <w:rPr>
                <w:rFonts w:hint="eastAsia" w:eastAsia="SimSun" w:cs="Courier New"/>
                <w:szCs w:val="24"/>
                <w:vertAlign w:val="subscript"/>
                <w:lang w:val="en-US" w:eastAsia="zh-CN"/>
              </w:rPr>
              <w:t xml:space="preserve">search </w:t>
            </w:r>
            <w:r>
              <w:rPr>
                <w:rFonts w:hint="eastAsia" w:eastAsia="SimSun" w:cs="Courier New"/>
                <w:szCs w:val="24"/>
                <w:lang w:val="en-US" w:eastAsia="zh-CN"/>
              </w:rPr>
              <w:t>should be scaled with scaling factor N= 2</w:t>
            </w:r>
          </w:p>
          <w:p>
            <w:pPr>
              <w:overflowPunct/>
              <w:autoSpaceDE/>
              <w:autoSpaceDN/>
              <w:adjustRightInd/>
              <w:spacing w:after="0"/>
              <w:textAlignment w:val="auto"/>
              <w:rPr>
                <w:rFonts w:hint="eastAsia" w:eastAsia="SimSun" w:cs="Courier New"/>
                <w:szCs w:val="24"/>
                <w:lang w:val="en-US" w:eastAsia="zh-CN"/>
              </w:rPr>
            </w:pPr>
            <w:r>
              <w:rPr>
                <w:rFonts w:hint="eastAsia" w:eastAsia="SimSun" w:cs="Courier New"/>
                <w:szCs w:val="24"/>
                <w:lang w:val="en-US" w:eastAsia="zh-CN"/>
              </w:rPr>
              <w:t>when network assistance on ATG unknown target cell</w:t>
            </w:r>
            <w:r>
              <w:rPr>
                <w:rFonts w:hint="default" w:eastAsia="SimSun" w:cs="Courier New"/>
                <w:szCs w:val="24"/>
                <w:lang w:val="en-US" w:eastAsia="zh-CN"/>
              </w:rPr>
              <w:t>’</w:t>
            </w:r>
            <w:r>
              <w:rPr>
                <w:rFonts w:hint="eastAsia" w:eastAsia="SimSun" w:cs="Courier New"/>
                <w:szCs w:val="24"/>
                <w:lang w:val="en-US" w:eastAsia="zh-CN"/>
              </w:rPr>
              <w:t>s reference BS locations is not provided, the T</w:t>
            </w:r>
            <w:r>
              <w:rPr>
                <w:rFonts w:hint="eastAsia" w:eastAsia="SimSun" w:cs="Courier New"/>
                <w:szCs w:val="24"/>
                <w:vertAlign w:val="subscript"/>
                <w:lang w:val="en-US" w:eastAsia="zh-CN"/>
              </w:rPr>
              <w:t>search</w:t>
            </w:r>
            <w:r>
              <w:rPr>
                <w:rFonts w:hint="eastAsia" w:eastAsia="SimSun" w:cs="Courier New"/>
                <w:szCs w:val="24"/>
                <w:lang w:val="en-US" w:eastAsia="zh-CN"/>
              </w:rPr>
              <w:t xml:space="preserve"> should be scaled with scaling factor N=4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w:t>
            </w:r>
          </w:p>
        </w:tc>
        <w:tc>
          <w:tcPr>
            <w:tcW w:w="3119"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 mechanism</w:t>
            </w:r>
          </w:p>
        </w:tc>
        <w:tc>
          <w:tcPr>
            <w:tcW w:w="311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Introduce location-based CHO for ATG, reusing the procedure in R17 NTN for R18 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RRC Re-establishment delay requirement</w:t>
            </w:r>
          </w:p>
        </w:tc>
        <w:tc>
          <w:tcPr>
            <w:tcW w:w="3119" w:type="dxa"/>
          </w:tcPr>
          <w:p>
            <w:pPr>
              <w:overflowPunct/>
              <w:autoSpaceDE/>
              <w:autoSpaceDN/>
              <w:adjustRightInd/>
              <w:spacing w:after="0"/>
              <w:textAlignment w:val="auto"/>
              <w:rPr>
                <w:rFonts w:eastAsia="SimSun" w:cs="Courier New"/>
                <w:szCs w:val="24"/>
                <w:lang w:val="en-US" w:eastAsia="zh-CN"/>
              </w:rPr>
            </w:pPr>
            <w:r>
              <w:rPr>
                <w:lang w:val="en-US" w:eastAsia="zh-CN"/>
              </w:rPr>
              <w:t>UE Re-establishment delay requirement</w:t>
            </w:r>
          </w:p>
        </w:tc>
        <w:tc>
          <w:tcPr>
            <w:tcW w:w="3118" w:type="dxa"/>
          </w:tcPr>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For ATG UE with [antenna array]</w:t>
            </w:r>
          </w:p>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Introduce scaling factor for unknown cell case</w:t>
            </w:r>
          </w:p>
          <w:p>
            <w:pPr>
              <w:numPr>
                <w:ilvl w:val="0"/>
                <w:numId w:val="11"/>
              </w:numPr>
              <w:overflowPunct/>
              <w:autoSpaceDE/>
              <w:autoSpaceDN/>
              <w:adjustRightInd/>
              <w:spacing w:after="0"/>
              <w:ind w:left="420" w:hanging="420"/>
              <w:textAlignment w:val="auto"/>
              <w:rPr>
                <w:rFonts w:hint="eastAsia" w:eastAsia="SimSun" w:cs="Courier New"/>
                <w:szCs w:val="24"/>
                <w:lang w:val="en-US" w:eastAsia="zh-CN"/>
              </w:rPr>
            </w:pPr>
            <w:r>
              <w:rPr>
                <w:rFonts w:hint="eastAsia" w:eastAsia="SimSun" w:cs="Courier New"/>
                <w:szCs w:val="24"/>
                <w:lang w:val="en-US" w:eastAsia="zh-CN"/>
              </w:rPr>
              <w:t>When network assistance on ATG cells reference location of the target cell is provided to UE, N = 3</w:t>
            </w:r>
          </w:p>
          <w:p>
            <w:pPr>
              <w:numPr>
                <w:ilvl w:val="0"/>
                <w:numId w:val="11"/>
              </w:numPr>
              <w:overflowPunct/>
              <w:autoSpaceDE/>
              <w:autoSpaceDN/>
              <w:adjustRightInd/>
              <w:spacing w:after="0"/>
              <w:ind w:left="420" w:hanging="420"/>
              <w:textAlignment w:val="auto"/>
              <w:rPr>
                <w:rFonts w:hint="eastAsia" w:eastAsia="SimSun" w:cs="Courier New"/>
                <w:szCs w:val="24"/>
                <w:lang w:val="en-US" w:eastAsia="zh-CN"/>
              </w:rPr>
            </w:pPr>
            <w:r>
              <w:rPr>
                <w:rFonts w:hint="eastAsia" w:eastAsia="SimSun" w:cs="Courier New"/>
                <w:szCs w:val="24"/>
                <w:lang w:val="en-US" w:eastAsia="zh-CN"/>
              </w:rPr>
              <w:t>Otherwise, N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hint="eastAsia" w:eastAsia="SimSun" w:cs="Courier New"/>
                <w:szCs w:val="24"/>
                <w:lang w:val="en-US" w:eastAsia="zh-CN"/>
              </w:rPr>
            </w:pPr>
            <w:r>
              <w:rPr>
                <w:lang w:val="en-US" w:eastAsia="zh-CN"/>
              </w:rPr>
              <w:t>RRC connection release with redirection</w:t>
            </w:r>
          </w:p>
        </w:tc>
        <w:tc>
          <w:tcPr>
            <w:tcW w:w="3119" w:type="dxa"/>
          </w:tcPr>
          <w:p>
            <w:pPr>
              <w:overflowPunct/>
              <w:autoSpaceDE/>
              <w:autoSpaceDN/>
              <w:adjustRightInd/>
              <w:spacing w:after="0"/>
              <w:textAlignment w:val="auto"/>
              <w:rPr>
                <w:lang w:val="en-US" w:eastAsia="zh-CN"/>
              </w:rPr>
            </w:pPr>
            <w:r>
              <w:rPr>
                <w:lang w:val="en-US" w:eastAsia="zh-CN"/>
              </w:rPr>
              <w:t>RRC connection release with redirection to NR</w:t>
            </w:r>
          </w:p>
        </w:tc>
        <w:tc>
          <w:tcPr>
            <w:tcW w:w="3118" w:type="dxa"/>
          </w:tcPr>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For ATG UE with [antenna array]</w:t>
            </w:r>
          </w:p>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Introduce scaling factor</w:t>
            </w:r>
          </w:p>
          <w:p>
            <w:pPr>
              <w:numPr>
                <w:ilvl w:val="0"/>
                <w:numId w:val="11"/>
              </w:numPr>
              <w:overflowPunct/>
              <w:autoSpaceDE/>
              <w:autoSpaceDN/>
              <w:adjustRightInd/>
              <w:spacing w:after="0"/>
              <w:ind w:left="420" w:hanging="420"/>
              <w:textAlignment w:val="auto"/>
              <w:rPr>
                <w:rFonts w:hint="eastAsia" w:eastAsia="SimSun" w:cs="Courier New"/>
                <w:szCs w:val="24"/>
                <w:lang w:val="en-US" w:eastAsia="zh-CN"/>
              </w:rPr>
            </w:pPr>
            <w:r>
              <w:rPr>
                <w:rFonts w:hint="eastAsia" w:eastAsia="SimSun" w:cs="Courier New"/>
                <w:szCs w:val="24"/>
                <w:lang w:val="en-US" w:eastAsia="zh-CN"/>
              </w:rPr>
              <w:t>When network assistance on ATG cells reference location of the target cell is provided to UE, N = 3</w:t>
            </w:r>
          </w:p>
          <w:p>
            <w:pPr>
              <w:numPr>
                <w:ilvl w:val="0"/>
                <w:numId w:val="11"/>
              </w:numPr>
              <w:overflowPunct/>
              <w:autoSpaceDE/>
              <w:autoSpaceDN/>
              <w:adjustRightInd/>
              <w:spacing w:after="0"/>
              <w:ind w:left="420" w:hanging="420"/>
              <w:textAlignment w:val="auto"/>
              <w:rPr>
                <w:rFonts w:hint="eastAsia" w:eastAsia="SimSun" w:cs="Courier New"/>
                <w:szCs w:val="24"/>
                <w:lang w:val="en-US" w:eastAsia="zh-CN"/>
              </w:rPr>
            </w:pPr>
            <w:r>
              <w:rPr>
                <w:rFonts w:hint="eastAsia" w:ascii="Times New Roman" w:hAnsi="Times New Roman" w:eastAsia="SimSun" w:cs="Courier New"/>
                <w:szCs w:val="24"/>
                <w:lang w:val="en-US" w:eastAsia="zh-CN"/>
              </w:rPr>
              <w:t>Otherwise, N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UE transmit timing</w:t>
            </w:r>
          </w:p>
        </w:tc>
        <w:tc>
          <w:tcPr>
            <w:tcW w:w="3119"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Initial transmit timing requirements T</w:t>
            </w:r>
            <w:r>
              <w:rPr>
                <w:rFonts w:eastAsia="SimSun" w:cs="Courier New"/>
                <w:szCs w:val="24"/>
                <w:vertAlign w:val="subscript"/>
                <w:lang w:val="en-US" w:eastAsia="zh-CN"/>
              </w:rPr>
              <w:t>e</w:t>
            </w:r>
          </w:p>
        </w:tc>
        <w:tc>
          <w:tcPr>
            <w:tcW w:w="3118"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Involve UE pre-compensation timing error</w:t>
            </w:r>
            <w:r>
              <w:rPr>
                <w:rFonts w:hint="eastAsia" w:eastAsia="SimSun" w:cs="Courier New"/>
                <w:szCs w:val="24"/>
                <w:lang w:val="en-US" w:eastAsia="zh-CN"/>
              </w:rPr>
              <w:t>,</w:t>
            </w:r>
            <w:r>
              <w:rPr>
                <w:rFonts w:eastAsia="SimSun" w:cs="Courier New"/>
                <w:szCs w:val="24"/>
                <w:lang w:val="en-US" w:eastAsia="zh-CN"/>
              </w:rPr>
              <w:t xml:space="preserve"> GNSS error=40m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Gradual timing adjustment requirement</w:t>
            </w:r>
          </w:p>
        </w:tc>
        <w:tc>
          <w:tcPr>
            <w:tcW w:w="3118" w:type="dxa"/>
          </w:tcPr>
          <w:p>
            <w:pPr>
              <w:overflowPunct/>
              <w:autoSpaceDE/>
              <w:autoSpaceDN/>
              <w:adjustRightInd/>
              <w:spacing w:after="0"/>
              <w:textAlignment w:val="auto"/>
              <w:rPr>
                <w:rFonts w:hint="default" w:eastAsia="SimSun" w:cs="Courier New"/>
                <w:szCs w:val="24"/>
                <w:lang w:val="en-US" w:eastAsia="zh-CN"/>
              </w:rPr>
            </w:pPr>
            <w:r>
              <w:rPr>
                <w:rFonts w:hint="eastAsia" w:eastAsia="SimSun" w:cs="Courier New"/>
                <w:szCs w:val="24"/>
                <w:lang w:val="en-US" w:eastAsia="zh-CN"/>
              </w:rPr>
              <w:t>Involve the timing drift caused by UE mobility, 1200km/h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T</w:t>
            </w:r>
            <w:r>
              <w:rPr>
                <w:rFonts w:eastAsia="SimSun" w:cs="Courier New"/>
                <w:szCs w:val="24"/>
                <w:lang w:val="en-US" w:eastAsia="zh-CN"/>
              </w:rPr>
              <w:t>iming advance adjustment delay requirement</w:t>
            </w:r>
          </w:p>
        </w:tc>
        <w:tc>
          <w:tcPr>
            <w:tcW w:w="3118" w:type="dxa"/>
          </w:tcPr>
          <w:p>
            <w:pPr>
              <w:overflowPunct/>
              <w:autoSpaceDE/>
              <w:autoSpaceDN/>
              <w:adjustRightInd/>
              <w:spacing w:after="0"/>
              <w:textAlignment w:val="auto"/>
              <w:rPr>
                <w:rFonts w:hint="default" w:eastAsia="SimSun" w:cs="Courier New"/>
                <w:szCs w:val="24"/>
                <w:lang w:val="en-US" w:eastAsia="zh-CN"/>
              </w:rPr>
            </w:pPr>
            <w:r>
              <w:rPr>
                <w:rFonts w:eastAsia="SimSun" w:cs="Courier New"/>
                <w:szCs w:val="24"/>
                <w:lang w:val="en-US" w:eastAsia="zh-CN"/>
              </w:rPr>
              <w:t>Introduce the mechanism of K</w:t>
            </w:r>
            <w:r>
              <w:rPr>
                <w:rFonts w:eastAsia="SimSun" w:cs="Courier New"/>
                <w:szCs w:val="24"/>
                <w:vertAlign w:val="subscript"/>
                <w:lang w:val="en-US" w:eastAsia="zh-CN"/>
              </w:rPr>
              <w:t>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SimSun" w:cs="Courier New"/>
                <w:szCs w:val="24"/>
                <w:lang w:val="en-US" w:eastAsia="zh-CN"/>
              </w:rPr>
            </w:pPr>
            <w:r>
              <w:t>Signalling characteristics</w:t>
            </w:r>
          </w:p>
        </w:tc>
        <w:tc>
          <w:tcPr>
            <w:tcW w:w="3119" w:type="dxa"/>
          </w:tcPr>
          <w:p>
            <w:pPr>
              <w:numPr>
                <w:ilvl w:val="255"/>
                <w:numId w:val="0"/>
              </w:numPr>
              <w:spacing w:after="180"/>
              <w:rPr>
                <w:rFonts w:eastAsia="SimSun" w:cs="Courier New"/>
                <w:szCs w:val="24"/>
                <w:lang w:val="en-US" w:eastAsia="zh-CN"/>
              </w:rPr>
            </w:pPr>
            <w:r>
              <w:rPr>
                <w:rFonts w:hint="eastAsia" w:eastAsia="SimSun" w:cs="Courier New"/>
                <w:szCs w:val="24"/>
                <w:lang w:val="en-US" w:eastAsia="zh-CN"/>
              </w:rPr>
              <w:t>Radio link monitoring</w:t>
            </w:r>
          </w:p>
          <w:p>
            <w:pPr>
              <w:overflowPunct/>
              <w:autoSpaceDE/>
              <w:autoSpaceDN/>
              <w:adjustRightInd/>
              <w:spacing w:after="0"/>
              <w:textAlignment w:val="auto"/>
              <w:rPr>
                <w:rFonts w:eastAsia="SimSun" w:cs="Courier New"/>
                <w:szCs w:val="24"/>
                <w:lang w:val="en-US" w:eastAsia="zh-CN"/>
              </w:rPr>
            </w:pPr>
          </w:p>
        </w:tc>
        <w:tc>
          <w:tcPr>
            <w:tcW w:w="311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Link recovery procedures</w:t>
            </w:r>
          </w:p>
        </w:tc>
        <w:tc>
          <w:tcPr>
            <w:tcW w:w="311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Measurement procedure and requirements</w:t>
            </w: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NR intra-frequency measurements</w:t>
            </w:r>
          </w:p>
        </w:tc>
        <w:tc>
          <w:tcPr>
            <w:tcW w:w="3118"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For ATG TDD deployment, ‘deriveSSB-IndexFromCell’ is not always applicable for NR intra-frequency measurement.</w:t>
            </w:r>
          </w:p>
          <w:p>
            <w:pPr>
              <w:pStyle w:val="106"/>
              <w:numPr>
                <w:ilvl w:val="255"/>
                <w:numId w:val="0"/>
              </w:numPr>
              <w:spacing w:after="180"/>
              <w:rPr>
                <w:rFonts w:ascii="Times New Roman" w:hAnsi="Times New Roman" w:eastAsia="SimSun"/>
                <w:szCs w:val="20"/>
                <w:lang w:eastAsia="ja-JP"/>
              </w:rPr>
            </w:pPr>
            <w:r>
              <w:rPr>
                <w:rFonts w:hint="eastAsia" w:ascii="Times New Roman" w:hAnsi="Times New Roman" w:eastAsia="SimSun"/>
                <w:szCs w:val="20"/>
                <w:lang w:val="en-US"/>
              </w:rPr>
              <w:t xml:space="preserve">For intra-frequency measurements without gap, </w:t>
            </w:r>
            <w:r>
              <w:rPr>
                <w:rFonts w:hint="eastAsia" w:ascii="Times New Roman" w:hAnsi="Times New Roman" w:eastAsia="SimSun"/>
                <w:szCs w:val="20"/>
                <w:lang w:eastAsia="ja-JP"/>
              </w:rPr>
              <w:t xml:space="preserve">Introduce </w:t>
            </w:r>
            <w:r>
              <w:rPr>
                <w:rFonts w:hint="eastAsia" w:ascii="Times New Roman" w:hAnsi="Times New Roman" w:eastAsia="SimSun"/>
                <w:szCs w:val="20"/>
              </w:rPr>
              <w:t>scaling factor N for L3 measurements for ATG UEs with [antenna arrays]</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 xml:space="preserve">N = </w:t>
            </w:r>
            <w:r>
              <w:rPr>
                <w:rFonts w:hint="eastAsia" w:ascii="Times New Roman" w:hAnsi="Times New Roman" w:eastAsia="SimSun"/>
                <w:szCs w:val="20"/>
                <w:lang w:val="en-US"/>
              </w:rPr>
              <w:t>3</w:t>
            </w:r>
            <w:r>
              <w:rPr>
                <w:rFonts w:hint="eastAsia" w:ascii="Times New Roman" w:hAnsi="Times New Roman" w:eastAsia="SimSun"/>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N = 4 otherwise</w:t>
            </w:r>
          </w:p>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Inter-frequency measurements without measurement gap</w:t>
            </w:r>
          </w:p>
        </w:tc>
        <w:tc>
          <w:tcPr>
            <w:tcW w:w="3118" w:type="dxa"/>
          </w:tcPr>
          <w:p>
            <w:pPr>
              <w:pStyle w:val="106"/>
              <w:numPr>
                <w:ilvl w:val="255"/>
                <w:numId w:val="0"/>
              </w:numPr>
              <w:spacing w:after="180"/>
              <w:rPr>
                <w:rFonts w:ascii="Times New Roman" w:hAnsi="Times New Roman" w:eastAsia="SimSun"/>
                <w:szCs w:val="20"/>
                <w:lang w:eastAsia="ja-JP"/>
              </w:rPr>
            </w:pPr>
            <w:r>
              <w:rPr>
                <w:rFonts w:hint="eastAsia" w:ascii="Times New Roman" w:hAnsi="Times New Roman" w:eastAsia="SimSun"/>
                <w:szCs w:val="20"/>
                <w:lang w:eastAsia="ja-JP"/>
              </w:rPr>
              <w:t xml:space="preserve">Introduce </w:t>
            </w:r>
            <w:r>
              <w:rPr>
                <w:rFonts w:hint="eastAsia" w:ascii="Times New Roman" w:hAnsi="Times New Roman" w:eastAsia="SimSun"/>
                <w:szCs w:val="20"/>
              </w:rPr>
              <w:t>scaling factor N for L3 measurements for ATG UEs with [antenna arrays]</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 xml:space="preserve">N = </w:t>
            </w:r>
            <w:r>
              <w:rPr>
                <w:rFonts w:hint="eastAsia" w:ascii="Times New Roman" w:hAnsi="Times New Roman" w:eastAsia="SimSun"/>
                <w:szCs w:val="20"/>
                <w:lang w:val="en-US"/>
              </w:rPr>
              <w:t>3</w:t>
            </w:r>
            <w:r>
              <w:rPr>
                <w:rFonts w:hint="eastAsia" w:ascii="Times New Roman" w:hAnsi="Times New Roman" w:eastAsia="SimSun"/>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N = 4 otherwise</w:t>
            </w:r>
          </w:p>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CSI-RS based intra-frequency measurements</w:t>
            </w:r>
          </w:p>
        </w:tc>
        <w:tc>
          <w:tcPr>
            <w:tcW w:w="3118"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 xml:space="preserve">For ATG TDD deployment, ‘deriveSSB-IndexFromCell’ is not always applicable for </w:t>
            </w:r>
            <w:r>
              <w:rPr>
                <w:rFonts w:hint="eastAsia" w:eastAsia="SimSun" w:cs="Courier New"/>
                <w:szCs w:val="24"/>
                <w:lang w:val="en-US" w:eastAsia="zh-CN"/>
              </w:rPr>
              <w:t xml:space="preserve">CSI-RS based </w:t>
            </w:r>
            <w:r>
              <w:rPr>
                <w:rFonts w:eastAsia="SimSun" w:cs="Courier New"/>
                <w:szCs w:val="24"/>
                <w:lang w:val="en-US" w:eastAsia="zh-CN"/>
              </w:rPr>
              <w:t>intra-frequency measurement.</w:t>
            </w:r>
          </w:p>
          <w:p>
            <w:pPr>
              <w:pStyle w:val="106"/>
              <w:numPr>
                <w:ilvl w:val="255"/>
                <w:numId w:val="0"/>
              </w:numPr>
              <w:spacing w:after="180"/>
              <w:rPr>
                <w:rFonts w:ascii="Times New Roman" w:hAnsi="Times New Roman" w:eastAsia="SimSun"/>
                <w:szCs w:val="20"/>
                <w:lang w:eastAsia="ja-JP"/>
              </w:rPr>
            </w:pPr>
            <w:r>
              <w:rPr>
                <w:rFonts w:hint="eastAsia" w:ascii="Times New Roman" w:hAnsi="Times New Roman" w:eastAsia="SimSun"/>
                <w:szCs w:val="20"/>
                <w:lang w:val="en-US"/>
              </w:rPr>
              <w:t xml:space="preserve">For intra-frequency measurements without gap, </w:t>
            </w:r>
            <w:r>
              <w:rPr>
                <w:rFonts w:hint="eastAsia" w:ascii="Times New Roman" w:hAnsi="Times New Roman" w:eastAsia="SimSun"/>
                <w:szCs w:val="20"/>
                <w:lang w:eastAsia="ja-JP"/>
              </w:rPr>
              <w:t xml:space="preserve">Introduce </w:t>
            </w:r>
            <w:r>
              <w:rPr>
                <w:rFonts w:hint="eastAsia" w:ascii="Times New Roman" w:hAnsi="Times New Roman" w:eastAsia="SimSun"/>
                <w:szCs w:val="20"/>
              </w:rPr>
              <w:t>scaling factor N for L3 measurements for ATG UEs with [antenna arrays]</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 xml:space="preserve">N = </w:t>
            </w:r>
            <w:r>
              <w:rPr>
                <w:rFonts w:hint="eastAsia" w:ascii="Times New Roman" w:hAnsi="Times New Roman" w:eastAsia="SimSun"/>
                <w:szCs w:val="20"/>
                <w:lang w:val="en-US"/>
              </w:rPr>
              <w:t>3</w:t>
            </w:r>
            <w:r>
              <w:rPr>
                <w:rFonts w:hint="eastAsia" w:ascii="Times New Roman" w:hAnsi="Times New Roman" w:eastAsia="SimSun"/>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SimSun"/>
                <w:szCs w:val="20"/>
                <w:lang w:eastAsia="ja-JP"/>
              </w:rPr>
            </w:pPr>
            <w:r>
              <w:rPr>
                <w:rFonts w:hint="eastAsia" w:ascii="Times New Roman" w:hAnsi="Times New Roman" w:eastAsia="SimSun"/>
                <w:szCs w:val="20"/>
              </w:rPr>
              <w:t>N = 4 otherwise</w:t>
            </w:r>
          </w:p>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before="60" w:after="180"/>
              <w:jc w:val="both"/>
              <w:textAlignment w:val="auto"/>
              <w:rPr>
                <w:rFonts w:eastAsia="SimSun" w:cs="Courier New"/>
                <w:szCs w:val="24"/>
                <w:lang w:val="en-US" w:eastAsia="zh-CN"/>
              </w:rPr>
            </w:pPr>
            <w:r>
              <w:rPr>
                <w:rFonts w:hint="eastAsia"/>
                <w:bCs/>
                <w:lang w:val="en-US" w:eastAsia="zh-CN"/>
              </w:rPr>
              <w:t>L1-RSRP/SINR measurements for Reporting</w:t>
            </w:r>
          </w:p>
        </w:tc>
        <w:tc>
          <w:tcPr>
            <w:tcW w:w="311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the sharing factor for </w:t>
            </w:r>
            <w:r>
              <w:rPr>
                <w:rFonts w:hint="eastAsia" w:eastAsia="SimSun"/>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SimSun" w:cs="Courier New"/>
                <w:szCs w:val="24"/>
                <w:lang w:val="en-US" w:eastAsia="zh-CN"/>
              </w:rPr>
            </w:pPr>
          </w:p>
        </w:tc>
        <w:tc>
          <w:tcPr>
            <w:tcW w:w="3119" w:type="dxa"/>
          </w:tcPr>
          <w:p>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Scheduling restrictions of UE performing measurements</w:t>
            </w:r>
          </w:p>
        </w:tc>
        <w:tc>
          <w:tcPr>
            <w:tcW w:w="3118" w:type="dxa"/>
          </w:tcPr>
          <w:p>
            <w:pPr>
              <w:overflowPunct/>
              <w:autoSpaceDE/>
              <w:autoSpaceDN/>
              <w:adjustRightInd/>
              <w:spacing w:after="0"/>
              <w:textAlignment w:val="auto"/>
              <w:rPr>
                <w:rFonts w:eastAsia="SimSun" w:cs="Courier New"/>
                <w:szCs w:val="24"/>
                <w:lang w:val="en-US" w:eastAsia="zh-CN"/>
              </w:rPr>
            </w:pPr>
            <w:r>
              <w:rPr>
                <w:rFonts w:hint="eastAsia" w:eastAsia="SimSun" w:cs="Courier New"/>
                <w:szCs w:val="24"/>
                <w:lang w:val="en-US" w:eastAsia="zh-CN"/>
              </w:rPr>
              <w:t xml:space="preserve">Introduce additional scheduling restriction for </w:t>
            </w:r>
            <w:r>
              <w:rPr>
                <w:rFonts w:hint="eastAsia" w:eastAsia="SimSun"/>
              </w:rPr>
              <w:t>ATG UEs with [antenna arrays]</w:t>
            </w:r>
          </w:p>
        </w:tc>
      </w:tr>
    </w:tbl>
    <w:p>
      <w:pPr>
        <w:overflowPunct/>
        <w:autoSpaceDE/>
        <w:autoSpaceDN/>
        <w:adjustRightInd/>
        <w:spacing w:after="0"/>
        <w:jc w:val="center"/>
        <w:textAlignment w:val="auto"/>
        <w:rPr>
          <w:rFonts w:eastAsia="SimSun" w:cs="Courier New"/>
          <w:b/>
          <w:bCs/>
          <w:szCs w:val="24"/>
          <w:lang w:val="en-US" w:eastAsia="zh-CN"/>
        </w:rPr>
      </w:pPr>
    </w:p>
    <w:p>
      <w:pPr>
        <w:overflowPunct/>
        <w:autoSpaceDE/>
        <w:autoSpaceDN/>
        <w:adjustRightInd/>
        <w:spacing w:before="120" w:after="0"/>
        <w:jc w:val="both"/>
        <w:textAlignment w:val="auto"/>
        <w:rPr>
          <w:rFonts w:eastAsia="SimSun" w:cs="Courier New"/>
          <w:szCs w:val="24"/>
          <w:lang w:val="en-US" w:eastAsia="zh-CN"/>
        </w:rPr>
      </w:pPr>
      <w:r>
        <w:rPr>
          <w:rFonts w:hint="eastAsia" w:eastAsia="SimSun" w:cs="Courier New"/>
          <w:szCs w:val="24"/>
          <w:lang w:val="en-US" w:eastAsia="zh-CN"/>
        </w:rPr>
        <w:t>F</w:t>
      </w:r>
      <w:r>
        <w:rPr>
          <w:rFonts w:eastAsia="SimSun" w:cs="Courier New"/>
          <w:szCs w:val="24"/>
          <w:lang w:val="en-US" w:eastAsia="zh-CN"/>
        </w:rPr>
        <w:t>or other RRM requirements, no new ATG specific requirements will be defined in R18.</w:t>
      </w:r>
      <w:r>
        <w:rPr>
          <w:rFonts w:hint="eastAsia" w:eastAsia="SimSun" w:cs="Courier New"/>
          <w:szCs w:val="24"/>
          <w:lang w:val="en-US" w:eastAsia="zh-CN"/>
        </w:rPr>
        <w:t xml:space="preserve"> </w:t>
      </w:r>
    </w:p>
    <w:p>
      <w:pPr>
        <w:pStyle w:val="2"/>
        <w:rPr>
          <w:lang w:eastAsia="zh-CN"/>
        </w:rPr>
      </w:pPr>
      <w:bookmarkStart w:id="817" w:name="_Toc473554002"/>
      <w:bookmarkStart w:id="818" w:name="_Toc15642"/>
      <w:bookmarkStart w:id="819" w:name="_Toc19867"/>
      <w:bookmarkStart w:id="820" w:name="_Toc7911"/>
      <w:bookmarkStart w:id="821" w:name="_Toc22393"/>
      <w:bookmarkStart w:id="822" w:name="_Toc133498178"/>
      <w:bookmarkStart w:id="823" w:name="_Toc21984"/>
      <w:r>
        <w:rPr>
          <w:rFonts w:hint="eastAsia"/>
          <w:lang w:eastAsia="zh-CN"/>
        </w:rPr>
        <w:t>9</w:t>
      </w:r>
      <w:r>
        <w:tab/>
      </w:r>
      <w:bookmarkEnd w:id="817"/>
      <w:bookmarkStart w:id="824" w:name="_Toc473554023"/>
      <w:r>
        <w:rPr>
          <w:rFonts w:hint="eastAsia"/>
          <w:lang w:eastAsia="zh-CN"/>
        </w:rPr>
        <w:t>Conclusion</w:t>
      </w:r>
      <w:bookmarkEnd w:id="818"/>
      <w:bookmarkEnd w:id="819"/>
      <w:bookmarkEnd w:id="820"/>
      <w:bookmarkEnd w:id="821"/>
      <w:bookmarkEnd w:id="822"/>
      <w:bookmarkEnd w:id="823"/>
    </w:p>
    <w:p>
      <w:pPr>
        <w:rPr>
          <w:lang w:val="en-US" w:eastAsia="zh-CN"/>
        </w:rPr>
      </w:pPr>
      <w:r>
        <w:rPr>
          <w:rFonts w:hint="eastAsia" w:ascii="Times New Roman" w:eastAsia="SimSun"/>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hint="eastAsia" w:ascii="Times New Roman" w:eastAsia="SimSun"/>
          <w:lang w:val="en-US" w:eastAsia="zh-CN"/>
        </w:rPr>
        <w:t xml:space="preserve"> using antenna array and omni-directional antenna at ATG UE side respectively. </w:t>
      </w:r>
    </w:p>
    <w:p>
      <w:pPr>
        <w:numPr>
          <w:ilvl w:val="0"/>
          <w:numId w:val="12"/>
        </w:numPr>
        <w:ind w:left="420" w:hanging="420"/>
        <w:rPr>
          <w:lang w:val="en-US" w:eastAsia="zh-CN"/>
        </w:rPr>
      </w:pPr>
      <w:r>
        <w:rPr>
          <w:rFonts w:hint="eastAsia" w:ascii="Times New Roman" w:eastAsia="SimSun"/>
          <w:lang w:val="en-US" w:eastAsia="zh-CN"/>
        </w:rPr>
        <w:t>The synchronized operation assumption is used to derive adjacent channel co-existence RF requirements, i.e.</w:t>
      </w:r>
      <w:r>
        <w:rPr>
          <w:lang w:val="en-US" w:eastAsia="zh-CN"/>
        </w:rPr>
        <w:t>,</w:t>
      </w:r>
      <w:r>
        <w:rPr>
          <w:rFonts w:hint="eastAsia" w:ascii="Times New Roman" w:eastAsia="SimSun"/>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pPr>
        <w:numPr>
          <w:ilvl w:val="0"/>
          <w:numId w:val="12"/>
        </w:numPr>
        <w:ind w:left="420" w:hanging="420"/>
        <w:rPr>
          <w:lang w:val="en-US" w:eastAsia="zh-CN"/>
        </w:rPr>
      </w:pPr>
      <w:r>
        <w:rPr>
          <w:rFonts w:hint="eastAsia" w:ascii="Times New Roman" w:eastAsia="SimSun"/>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pPr>
        <w:rPr>
          <w:lang w:val="en-US" w:eastAsia="zh-CN"/>
        </w:rPr>
      </w:pPr>
      <w:r>
        <w:rPr>
          <w:rFonts w:hint="eastAsia" w:ascii="Times New Roman" w:eastAsia="SimSun"/>
          <w:lang w:val="en-US" w:eastAsia="zh-CN"/>
        </w:rPr>
        <w:t>Besides, ATG specific operation bands are listed in clause 5 based on request from operators. It</w:t>
      </w:r>
      <w:r>
        <w:rPr>
          <w:lang w:val="en-US" w:eastAsia="zh-CN"/>
        </w:rPr>
        <w:t>’</w:t>
      </w:r>
      <w:r>
        <w:rPr>
          <w:rFonts w:hint="eastAsia" w:ascii="Times New Roman" w:eastAsia="SimSun"/>
          <w:lang w:val="en-US" w:eastAsia="zh-CN"/>
        </w:rPr>
        <w:t xml:space="preserve">s noted this TR only encompass FR1 operation bands with larger than 1GHz frequency. </w:t>
      </w:r>
    </w:p>
    <w:p>
      <w:pPr>
        <w:rPr>
          <w:lang w:eastAsia="en-US"/>
        </w:rPr>
      </w:pPr>
      <w:r>
        <w:rPr>
          <w:rFonts w:hint="eastAsia" w:ascii="Times New Roman" w:eastAsia="SimSun"/>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pPr>
        <w:pStyle w:val="100"/>
        <w:rPr>
          <w:color w:val="auto"/>
          <w:lang w:eastAsia="zh-CN"/>
        </w:rPr>
      </w:pPr>
    </w:p>
    <w:bookmarkEnd w:id="824"/>
    <w:p>
      <w:pPr>
        <w:pStyle w:val="2"/>
        <w:ind w:left="0" w:firstLine="0"/>
        <w:rPr>
          <w:lang w:eastAsia="zh-CN"/>
        </w:rPr>
      </w:pPr>
      <w:bookmarkStart w:id="825" w:name="_Toc473554024"/>
      <w:bookmarkStart w:id="826" w:name="_Toc17443"/>
      <w:bookmarkStart w:id="827" w:name="_Toc30132"/>
      <w:bookmarkStart w:id="828" w:name="_Toc133498179"/>
      <w:bookmarkStart w:id="829" w:name="_Toc17148"/>
      <w:bookmarkStart w:id="830" w:name="_Toc32527"/>
      <w:bookmarkStart w:id="831" w:name="_Toc15120"/>
      <w:r>
        <w:rPr>
          <w:rFonts w:hint="eastAsia"/>
          <w:lang w:eastAsia="zh-CN"/>
        </w:rPr>
        <w:t>1</w:t>
      </w:r>
      <w:r>
        <w:rPr>
          <w:rFonts w:hint="eastAsia"/>
        </w:rPr>
        <w:t>0</w:t>
      </w:r>
      <w:r>
        <w:tab/>
      </w:r>
      <w:r>
        <w:t>Required changes to NR</w:t>
      </w:r>
      <w:bookmarkEnd w:id="825"/>
      <w:r>
        <w:rPr>
          <w:rFonts w:hint="eastAsia"/>
        </w:rPr>
        <w:t xml:space="preserve">, </w:t>
      </w:r>
      <w:r>
        <w:t>E-UTRA, UTRA and MSR specifications</w:t>
      </w:r>
      <w:bookmarkEnd w:id="826"/>
      <w:bookmarkEnd w:id="827"/>
      <w:bookmarkEnd w:id="828"/>
      <w:bookmarkEnd w:id="829"/>
      <w:bookmarkEnd w:id="830"/>
      <w:bookmarkEnd w:id="831"/>
    </w:p>
    <w:p>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pPr>
        <w:pStyle w:val="76"/>
      </w:pPr>
      <w:r>
        <w:t xml:space="preserve">Table </w:t>
      </w:r>
      <w:r>
        <w:rPr>
          <w:rFonts w:hint="eastAsia"/>
          <w:lang w:eastAsia="zh-CN"/>
        </w:rPr>
        <w:t>10</w:t>
      </w:r>
      <w:r>
        <w:t>-1: Overview of 3GPP specifications with required changes</w:t>
      </w:r>
    </w:p>
    <w:tbl>
      <w:tblPr>
        <w:tblStyle w:val="49"/>
        <w:tblW w:w="0" w:type="auto"/>
        <w:tblInd w:w="80" w:type="dxa"/>
        <w:tblLayout w:type="autofit"/>
        <w:tblCellMar>
          <w:top w:w="0" w:type="dxa"/>
          <w:left w:w="0" w:type="dxa"/>
          <w:bottom w:w="0" w:type="dxa"/>
          <w:right w:w="0" w:type="dxa"/>
        </w:tblCellMar>
      </w:tblPr>
      <w:tblGrid>
        <w:gridCol w:w="1021"/>
        <w:gridCol w:w="5448"/>
        <w:gridCol w:w="1134"/>
        <w:gridCol w:w="1639"/>
      </w:tblGrid>
      <w:tr>
        <w:tblPrEx>
          <w:tblCellMar>
            <w:top w:w="0" w:type="dxa"/>
            <w:left w:w="0" w:type="dxa"/>
            <w:bottom w:w="0" w:type="dxa"/>
            <w:right w:w="0" w:type="dxa"/>
          </w:tblCellMar>
        </w:tblPrEx>
        <w:trPr>
          <w:cantSplit/>
        </w:trPr>
        <w:tc>
          <w:tcPr>
            <w:tcW w:w="9242" w:type="dxa"/>
            <w:gridSpan w:val="4"/>
            <w:tcBorders>
              <w:top w:val="single" w:color="auto" w:sz="8" w:space="0"/>
              <w:left w:val="single" w:color="auto" w:sz="8" w:space="0"/>
              <w:bottom w:val="single" w:color="auto" w:sz="8" w:space="0"/>
              <w:right w:val="single" w:color="auto" w:sz="8" w:space="0"/>
            </w:tcBorders>
            <w:tcMar>
              <w:top w:w="0" w:type="dxa"/>
              <w:left w:w="28" w:type="dxa"/>
              <w:bottom w:w="0" w:type="dxa"/>
              <w:right w:w="28" w:type="dxa"/>
            </w:tcMar>
          </w:tcPr>
          <w:p>
            <w:pPr>
              <w:pStyle w:val="67"/>
            </w:pPr>
            <w:r>
              <w:t>Affected existing specifications</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shd w:val="clear" w:color="auto" w:fill="E0E0E0"/>
            <w:tcMar>
              <w:top w:w="0" w:type="dxa"/>
              <w:left w:w="28" w:type="dxa"/>
              <w:bottom w:w="0" w:type="dxa"/>
              <w:right w:w="28" w:type="dxa"/>
            </w:tcMar>
            <w:vAlign w:val="center"/>
          </w:tcPr>
          <w:p>
            <w:pPr>
              <w:pStyle w:val="67"/>
            </w:pPr>
            <w:r>
              <w:t>Spec No.</w:t>
            </w:r>
          </w:p>
        </w:tc>
        <w:tc>
          <w:tcPr>
            <w:tcW w:w="5448" w:type="dxa"/>
            <w:tcBorders>
              <w:top w:val="nil"/>
              <w:left w:val="nil"/>
              <w:bottom w:val="single" w:color="auto" w:sz="8" w:space="0"/>
              <w:right w:val="single" w:color="auto" w:sz="8" w:space="0"/>
            </w:tcBorders>
            <w:shd w:val="clear" w:color="auto" w:fill="E0E0E0"/>
            <w:tcMar>
              <w:top w:w="0" w:type="dxa"/>
              <w:left w:w="28" w:type="dxa"/>
              <w:bottom w:w="0" w:type="dxa"/>
              <w:right w:w="28" w:type="dxa"/>
            </w:tcMar>
            <w:vAlign w:val="center"/>
          </w:tcPr>
          <w:p>
            <w:pPr>
              <w:pStyle w:val="67"/>
            </w:pPr>
            <w:r>
              <w:t>Subject of the CR</w:t>
            </w:r>
          </w:p>
        </w:tc>
        <w:tc>
          <w:tcPr>
            <w:tcW w:w="1134" w:type="dxa"/>
            <w:tcBorders>
              <w:top w:val="nil"/>
              <w:left w:val="nil"/>
              <w:bottom w:val="single" w:color="auto" w:sz="8" w:space="0"/>
              <w:right w:val="single" w:color="auto" w:sz="8" w:space="0"/>
            </w:tcBorders>
            <w:shd w:val="clear" w:color="auto" w:fill="D9D9D9"/>
            <w:tcMar>
              <w:top w:w="0" w:type="dxa"/>
              <w:left w:w="28" w:type="dxa"/>
              <w:bottom w:w="0" w:type="dxa"/>
              <w:right w:w="28" w:type="dxa"/>
            </w:tcMar>
            <w:vAlign w:val="center"/>
          </w:tcPr>
          <w:p>
            <w:pPr>
              <w:pStyle w:val="67"/>
            </w:pPr>
            <w:r>
              <w:t>Comments</w:t>
            </w:r>
          </w:p>
        </w:tc>
        <w:tc>
          <w:tcPr>
            <w:tcW w:w="1639" w:type="dxa"/>
            <w:tcBorders>
              <w:top w:val="nil"/>
              <w:left w:val="nil"/>
              <w:bottom w:val="single" w:color="auto" w:sz="8" w:space="0"/>
              <w:right w:val="single" w:color="auto" w:sz="8" w:space="0"/>
            </w:tcBorders>
            <w:shd w:val="clear" w:color="auto" w:fill="D9D9D9"/>
            <w:tcMar>
              <w:top w:w="0" w:type="dxa"/>
              <w:left w:w="28" w:type="dxa"/>
              <w:bottom w:w="0" w:type="dxa"/>
              <w:right w:w="28" w:type="dxa"/>
            </w:tcMar>
          </w:tcPr>
          <w:p>
            <w:pPr>
              <w:pStyle w:val="67"/>
            </w:pPr>
            <w:r>
              <w:t>CR/TP (Tdoc)</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Height w:val="100" w:hRule="atLeas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rPr>
                <w:rFonts w:cs="Arial"/>
                <w:snapToGrid w:val="0"/>
                <w:sz w:val="16"/>
                <w:szCs w:val="16"/>
              </w:rPr>
            </w:pPr>
          </w:p>
        </w:tc>
        <w:tc>
          <w:tcPr>
            <w:tcW w:w="1134"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bl>
    <w:p/>
    <w:p>
      <w:pPr>
        <w:pStyle w:val="2"/>
        <w:rPr>
          <w:rFonts w:hint="default"/>
          <w:lang w:val="en-US" w:eastAsia="zh-CN"/>
        </w:rPr>
      </w:pPr>
      <w:bookmarkStart w:id="832" w:name="_Toc13046"/>
      <w:bookmarkStart w:id="833" w:name="_Toc20550"/>
      <w:bookmarkStart w:id="834" w:name="_Toc11555"/>
      <w:bookmarkStart w:id="835" w:name="_Toc5453"/>
      <w:bookmarkStart w:id="836" w:name="_Toc12538"/>
      <w:bookmarkStart w:id="837" w:name="_Toc482961395"/>
      <w:bookmarkStart w:id="838" w:name="_Toc117668904"/>
      <w:r>
        <w:rPr>
          <w:rFonts w:hint="eastAsia"/>
          <w:lang w:eastAsia="zh-CN"/>
        </w:rPr>
        <w:t>Annex</w:t>
      </w:r>
      <w:r>
        <w:rPr>
          <w:rFonts w:hint="eastAsia"/>
          <w:lang w:eastAsia="zh-CN"/>
        </w:rPr>
        <w:tab/>
      </w:r>
      <w:r>
        <w:rPr>
          <w:rFonts w:hint="eastAsia"/>
          <w:lang w:eastAsia="zh-CN"/>
        </w:rPr>
        <w:t>A:</w:t>
      </w:r>
      <w:r>
        <w:rPr>
          <w:rFonts w:hint="eastAsia"/>
          <w:lang w:eastAsia="zh-CN"/>
        </w:rPr>
        <w:tab/>
      </w:r>
      <w:r>
        <w:rPr>
          <w:rFonts w:hint="eastAsia"/>
          <w:lang w:eastAsia="zh-CN"/>
        </w:rPr>
        <w:t xml:space="preserve">Calibration results of </w:t>
      </w:r>
      <w:r>
        <w:rPr>
          <w:rFonts w:hint="eastAsia"/>
          <w:lang w:val="en-US" w:eastAsia="zh-CN"/>
        </w:rPr>
        <w:t>synchronized operation</w:t>
      </w:r>
      <w:bookmarkEnd w:id="832"/>
      <w:bookmarkEnd w:id="833"/>
      <w:bookmarkEnd w:id="834"/>
      <w:bookmarkEnd w:id="835"/>
      <w:bookmarkEnd w:id="836"/>
    </w:p>
    <w:p>
      <w:pPr>
        <w:pStyle w:val="3"/>
      </w:pPr>
      <w:bookmarkStart w:id="839" w:name="_Toc10645"/>
      <w:bookmarkStart w:id="840" w:name="_Toc27096"/>
      <w:bookmarkStart w:id="841" w:name="_Toc25370"/>
      <w:bookmarkStart w:id="842" w:name="_Toc11761"/>
      <w:bookmarkStart w:id="843" w:name="_Toc30652"/>
      <w:r>
        <w:t>A.1</w:t>
      </w:r>
      <w:r>
        <w:tab/>
      </w:r>
      <w:r>
        <w:t>Calibration assumptions</w:t>
      </w:r>
      <w:bookmarkEnd w:id="839"/>
      <w:bookmarkEnd w:id="840"/>
      <w:bookmarkEnd w:id="841"/>
      <w:bookmarkEnd w:id="842"/>
      <w:bookmarkEnd w:id="843"/>
    </w:p>
    <w:p>
      <w:pPr>
        <w:rPr>
          <w:rFonts w:hint="default" w:eastAsia="SimSun"/>
          <w:lang w:val="en-US" w:eastAsia="zh-CN"/>
        </w:rPr>
      </w:pPr>
      <w:r>
        <w:rPr>
          <w:rFonts w:hint="eastAsia" w:eastAsia="SimSun"/>
          <w:lang w:val="en-US" w:eastAsia="zh-CN"/>
        </w:rPr>
        <w:t xml:space="preserve">The calibration assumptions is the same as listed in clause 6.2 and 6.3. </w:t>
      </w:r>
    </w:p>
    <w:p>
      <w:pPr>
        <w:pStyle w:val="3"/>
        <w:rPr>
          <w:rFonts w:hint="default"/>
          <w:lang w:val="en-US" w:eastAsia="zh-CN"/>
        </w:rPr>
      </w:pPr>
      <w:bookmarkStart w:id="844" w:name="_Toc8287"/>
      <w:bookmarkStart w:id="845" w:name="_Toc28512"/>
      <w:bookmarkStart w:id="846" w:name="_Toc18280"/>
      <w:bookmarkStart w:id="847" w:name="_Toc24486"/>
      <w:bookmarkStart w:id="848" w:name="_Toc31668"/>
      <w:r>
        <w:t>A.2</w:t>
      </w:r>
      <w:r>
        <w:tab/>
      </w:r>
      <w:r>
        <w:t>Calibration results at 2GHz</w:t>
      </w:r>
      <w:r>
        <w:rPr>
          <w:rFonts w:hint="eastAsia"/>
          <w:lang w:val="en-US" w:eastAsia="zh-CN"/>
        </w:rPr>
        <w:t xml:space="preserve"> and 4GHz</w:t>
      </w:r>
      <w:bookmarkEnd w:id="844"/>
      <w:bookmarkEnd w:id="845"/>
      <w:bookmarkEnd w:id="846"/>
      <w:bookmarkEnd w:id="847"/>
      <w:bookmarkEnd w:id="848"/>
    </w:p>
    <w:p>
      <w:pPr>
        <w:rPr>
          <w:b w:val="0"/>
          <w:bCs/>
          <w:color w:val="auto"/>
          <w:lang w:val="en-US" w:eastAsia="zh-CN"/>
        </w:rPr>
      </w:pPr>
      <w:r>
        <w:rPr>
          <w:rFonts w:hint="eastAsia"/>
          <w:b w:val="0"/>
          <w:bCs/>
          <w:color w:val="auto"/>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b w:val="0"/>
          <w:bCs/>
          <w:color w:val="auto"/>
          <w:lang w:val="en-US" w:eastAsia="zh-CN" w:bidi="ar"/>
        </w:rPr>
        <w:t xml:space="preserve">xplanation for </w:t>
      </w:r>
      <w:r>
        <w:rPr>
          <w:rFonts w:hint="eastAsia"/>
          <w:b w:val="0"/>
          <w:bCs/>
          <w:color w:val="auto"/>
          <w:lang w:val="en-US" w:eastAsia="zh-CN" w:bidi="ar"/>
        </w:rPr>
        <w:t>each performance metric</w:t>
      </w:r>
      <w:r>
        <w:rPr>
          <w:b w:val="0"/>
          <w:bCs/>
          <w:color w:val="auto"/>
          <w:lang w:val="en-US" w:eastAsia="zh-CN" w:bidi="ar"/>
        </w:rPr>
        <w:t xml:space="preserve"> </w:t>
      </w:r>
      <w:r>
        <w:rPr>
          <w:rFonts w:hint="eastAsia"/>
          <w:b w:val="0"/>
          <w:bCs/>
          <w:color w:val="auto"/>
          <w:lang w:val="en-US" w:eastAsia="zh-CN" w:bidi="ar"/>
        </w:rPr>
        <w:t xml:space="preserve">in calibration excel file. </w:t>
      </w:r>
    </w:p>
    <w:p>
      <w:pPr>
        <w:widowControl w:val="0"/>
        <w:numPr>
          <w:ilvl w:val="0"/>
          <w:numId w:val="13"/>
        </w:numPr>
        <w:spacing w:after="120"/>
        <w:ind w:left="420" w:hanging="420"/>
        <w:jc w:val="both"/>
        <w:rPr>
          <w:bCs/>
          <w:color w:val="auto"/>
          <w:szCs w:val="21"/>
          <w:lang w:val="en-US"/>
        </w:rPr>
      </w:pPr>
      <w:r>
        <w:rPr>
          <w:rFonts w:hint="eastAsia"/>
          <w:bCs/>
          <w:color w:val="auto"/>
          <w:szCs w:val="21"/>
          <w:lang w:val="en-US" w:eastAsia="zh-CN"/>
        </w:rPr>
        <w:t>CL: coupling loss between transmitter and receiver</w:t>
      </w:r>
    </w:p>
    <w:p>
      <w:pPr>
        <w:widowControl w:val="0"/>
        <w:numPr>
          <w:ilvl w:val="0"/>
          <w:numId w:val="13"/>
        </w:numPr>
        <w:spacing w:after="120"/>
        <w:ind w:left="420" w:hanging="420"/>
        <w:jc w:val="both"/>
        <w:rPr>
          <w:bCs/>
          <w:color w:val="auto"/>
          <w:szCs w:val="21"/>
          <w:lang w:val="en-US"/>
        </w:rPr>
      </w:pPr>
      <w:r>
        <w:rPr>
          <w:rFonts w:hint="eastAsia"/>
          <w:bCs/>
          <w:color w:val="auto"/>
          <w:szCs w:val="21"/>
          <w:lang w:val="en-US" w:eastAsia="zh-CN"/>
        </w:rPr>
        <w:t xml:space="preserve">SINR CDF without adjacent channel interference: </w:t>
      </w:r>
      <w:r>
        <w:rPr>
          <w:bCs/>
          <w:color w:val="auto"/>
          <w:szCs w:val="21"/>
          <w:lang w:val="en-US" w:eastAsia="zh-CN" w:bidi="ar"/>
        </w:rPr>
        <w:t>Here the SINR=S/(N+I</w:t>
      </w:r>
      <w:r>
        <w:rPr>
          <w:bCs/>
          <w:color w:val="auto"/>
          <w:szCs w:val="21"/>
          <w:vertAlign w:val="subscript"/>
          <w:lang w:val="en-US" w:eastAsia="zh-CN" w:bidi="ar"/>
        </w:rPr>
        <w:t>ICI</w:t>
      </w:r>
      <w:r>
        <w:rPr>
          <w:bCs/>
          <w:color w:val="auto"/>
          <w:szCs w:val="21"/>
          <w:lang w:val="en-US" w:eastAsia="zh-CN" w:bidi="ar"/>
        </w:rPr>
        <w:t>)</w:t>
      </w:r>
      <w:r>
        <w:rPr>
          <w:rFonts w:hint="eastAsia"/>
          <w:bCs/>
          <w:color w:val="auto"/>
          <w:szCs w:val="21"/>
          <w:lang w:val="en-US" w:eastAsia="zh-CN" w:bidi="ar"/>
        </w:rPr>
        <w:t xml:space="preserve"> where </w:t>
      </w:r>
      <w:r>
        <w:rPr>
          <w:bCs/>
          <w:color w:val="auto"/>
          <w:szCs w:val="21"/>
          <w:lang w:val="en-US" w:eastAsia="zh-CN" w:bidi="ar"/>
        </w:rPr>
        <w:t>I</w:t>
      </w:r>
      <w:r>
        <w:rPr>
          <w:bCs/>
          <w:color w:val="auto"/>
          <w:szCs w:val="21"/>
          <w:vertAlign w:val="subscript"/>
          <w:lang w:val="en-US" w:eastAsia="zh-CN" w:bidi="ar"/>
        </w:rPr>
        <w:t>ICI</w:t>
      </w:r>
      <w:r>
        <w:rPr>
          <w:rFonts w:hint="eastAsia"/>
          <w:bCs/>
          <w:color w:val="auto"/>
          <w:szCs w:val="21"/>
          <w:vertAlign w:val="subscript"/>
          <w:lang w:val="en-US" w:eastAsia="zh-CN" w:bidi="ar"/>
        </w:rPr>
        <w:t xml:space="preserve"> </w:t>
      </w:r>
      <w:r>
        <w:rPr>
          <w:rFonts w:hint="eastAsia"/>
          <w:bCs/>
          <w:color w:val="auto"/>
          <w:szCs w:val="21"/>
          <w:vertAlign w:val="baseline"/>
          <w:lang w:val="en-US" w:eastAsia="zh-CN" w:bidi="ar"/>
        </w:rPr>
        <w:t>is the co-channel interference</w:t>
      </w:r>
    </w:p>
    <w:p>
      <w:pPr>
        <w:widowControl w:val="0"/>
        <w:numPr>
          <w:ilvl w:val="0"/>
          <w:numId w:val="13"/>
        </w:numPr>
        <w:spacing w:after="120"/>
        <w:ind w:left="420" w:hanging="420"/>
        <w:jc w:val="both"/>
        <w:rPr>
          <w:bCs/>
          <w:color w:val="auto"/>
          <w:szCs w:val="21"/>
          <w:lang w:val="en-US"/>
        </w:rPr>
      </w:pPr>
      <w:r>
        <w:rPr>
          <w:bCs/>
          <w:color w:val="auto"/>
          <w:szCs w:val="21"/>
          <w:lang w:val="en-US" w:eastAsia="zh-CN" w:bidi="ar"/>
        </w:rPr>
        <w:t>SINR CDF with adjacent channel interference from synchronization intra-system</w:t>
      </w:r>
      <w:r>
        <w:rPr>
          <w:rFonts w:hint="eastAsia"/>
          <w:bCs/>
          <w:color w:val="auto"/>
          <w:szCs w:val="21"/>
          <w:lang w:val="en-US" w:eastAsia="zh-CN" w:bidi="ar"/>
        </w:rPr>
        <w:t xml:space="preserve">: </w:t>
      </w:r>
      <w:r>
        <w:rPr>
          <w:bCs/>
          <w:color w:val="auto"/>
          <w:szCs w:val="21"/>
          <w:lang w:val="en-US" w:eastAsia="zh-CN" w:bidi="ar"/>
        </w:rPr>
        <w:t>Here the SINR=S/(N+I</w:t>
      </w:r>
      <w:r>
        <w:rPr>
          <w:bCs/>
          <w:color w:val="auto"/>
          <w:szCs w:val="21"/>
          <w:vertAlign w:val="subscript"/>
          <w:lang w:val="en-US" w:eastAsia="zh-CN" w:bidi="ar"/>
        </w:rPr>
        <w:t xml:space="preserve">ICI </w:t>
      </w:r>
      <w:r>
        <w:rPr>
          <w:bCs/>
          <w:color w:val="auto"/>
          <w:szCs w:val="21"/>
          <w:lang w:val="en-US" w:eastAsia="zh-CN" w:bidi="ar"/>
        </w:rPr>
        <w:t>+</w:t>
      </w:r>
      <w:r>
        <w:rPr>
          <w:bCs/>
          <w:color w:val="auto"/>
          <w:szCs w:val="21"/>
          <w:vertAlign w:val="subscript"/>
          <w:lang w:val="en-US" w:eastAsia="zh-CN" w:bidi="ar"/>
        </w:rPr>
        <w:t xml:space="preserve"> </w:t>
      </w:r>
      <w:r>
        <w:rPr>
          <w:bCs/>
          <w:color w:val="auto"/>
          <w:szCs w:val="21"/>
          <w:lang w:val="en-US" w:eastAsia="zh-CN" w:bidi="ar"/>
        </w:rPr>
        <w:t>I</w:t>
      </w:r>
      <w:r>
        <w:rPr>
          <w:bCs/>
          <w:color w:val="auto"/>
          <w:szCs w:val="21"/>
          <w:vertAlign w:val="subscript"/>
          <w:lang w:val="en-US" w:eastAsia="zh-CN" w:bidi="ar"/>
        </w:rPr>
        <w:t>ACI</w:t>
      </w:r>
      <w:r>
        <w:rPr>
          <w:bCs/>
          <w:color w:val="auto"/>
          <w:szCs w:val="21"/>
          <w:lang w:val="en-US" w:eastAsia="zh-CN" w:bidi="ar"/>
        </w:rPr>
        <w:t>).</w:t>
      </w:r>
    </w:p>
    <w:p>
      <w:pPr>
        <w:widowControl w:val="0"/>
        <w:numPr>
          <w:ilvl w:val="1"/>
          <w:numId w:val="13"/>
        </w:numPr>
        <w:spacing w:after="120"/>
        <w:ind w:left="840" w:hanging="420"/>
        <w:jc w:val="both"/>
        <w:rPr>
          <w:bCs/>
          <w:color w:val="auto"/>
          <w:szCs w:val="21"/>
          <w:lang w:val="en-US"/>
        </w:rPr>
      </w:pPr>
      <w:r>
        <w:rPr>
          <w:bCs/>
          <w:color w:val="auto"/>
          <w:szCs w:val="21"/>
          <w:lang w:val="en-US" w:eastAsia="zh-CN" w:bidi="ar"/>
        </w:rPr>
        <w:t>For TN, I</w:t>
      </w:r>
      <w:r>
        <w:rPr>
          <w:bCs/>
          <w:color w:val="auto"/>
          <w:szCs w:val="21"/>
          <w:vertAlign w:val="subscript"/>
          <w:lang w:val="en-US" w:eastAsia="zh-CN" w:bidi="ar"/>
        </w:rPr>
        <w:t xml:space="preserve">ACI </w:t>
      </w:r>
      <w:r>
        <w:rPr>
          <w:bCs/>
          <w:color w:val="auto"/>
          <w:szCs w:val="21"/>
          <w:lang w:val="en-US" w:eastAsia="zh-CN" w:bidi="ar"/>
        </w:rPr>
        <w:t>is from synchronized TN network using adjacent channel</w:t>
      </w:r>
    </w:p>
    <w:p>
      <w:pPr>
        <w:widowControl w:val="0"/>
        <w:numPr>
          <w:ilvl w:val="1"/>
          <w:numId w:val="13"/>
        </w:numPr>
        <w:spacing w:after="120"/>
        <w:ind w:left="840" w:hanging="420"/>
        <w:jc w:val="both"/>
        <w:rPr>
          <w:bCs/>
          <w:color w:val="auto"/>
          <w:szCs w:val="21"/>
          <w:lang w:val="en-US"/>
        </w:rPr>
      </w:pPr>
      <w:r>
        <w:rPr>
          <w:bCs/>
          <w:color w:val="auto"/>
          <w:szCs w:val="21"/>
          <w:lang w:val="en-US" w:eastAsia="zh-CN" w:bidi="ar"/>
        </w:rPr>
        <w:t>For ATG, due to we only consider one ATG BS and UE, I</w:t>
      </w:r>
      <w:r>
        <w:rPr>
          <w:bCs/>
          <w:color w:val="auto"/>
          <w:szCs w:val="21"/>
          <w:vertAlign w:val="subscript"/>
          <w:lang w:val="en-US" w:eastAsia="zh-CN" w:bidi="ar"/>
        </w:rPr>
        <w:t xml:space="preserve">ACI </w:t>
      </w:r>
      <w:r>
        <w:rPr>
          <w:bCs/>
          <w:color w:val="auto"/>
          <w:szCs w:val="21"/>
          <w:lang w:val="en-US" w:eastAsia="zh-CN" w:bidi="ar"/>
        </w:rPr>
        <w:t>and I</w:t>
      </w:r>
      <w:r>
        <w:rPr>
          <w:bCs/>
          <w:color w:val="auto"/>
          <w:szCs w:val="21"/>
          <w:vertAlign w:val="subscript"/>
          <w:lang w:val="en-US" w:eastAsia="zh-CN" w:bidi="ar"/>
        </w:rPr>
        <w:t>ICI</w:t>
      </w:r>
      <w:r>
        <w:rPr>
          <w:bCs/>
          <w:color w:val="auto"/>
          <w:szCs w:val="21"/>
          <w:lang w:val="en-US" w:eastAsia="zh-CN" w:bidi="ar"/>
        </w:rPr>
        <w:t xml:space="preserve"> are both 0</w:t>
      </w:r>
    </w:p>
    <w:p>
      <w:pPr>
        <w:widowControl w:val="0"/>
        <w:numPr>
          <w:ilvl w:val="0"/>
          <w:numId w:val="13"/>
        </w:numPr>
        <w:spacing w:after="120"/>
        <w:ind w:left="420" w:hanging="420"/>
        <w:jc w:val="both"/>
        <w:rPr>
          <w:bCs/>
          <w:color w:val="auto"/>
          <w:szCs w:val="21"/>
          <w:lang w:val="en-US"/>
        </w:rPr>
      </w:pPr>
      <w:r>
        <w:rPr>
          <w:bCs/>
          <w:color w:val="auto"/>
          <w:szCs w:val="21"/>
          <w:lang w:val="en-US" w:eastAsia="zh-CN" w:bidi="ar"/>
        </w:rPr>
        <w:t>SINR CDF with adjacent channel interference from synchronization inter-system</w:t>
      </w:r>
      <w:r>
        <w:rPr>
          <w:rFonts w:hint="eastAsia"/>
          <w:bCs/>
          <w:color w:val="auto"/>
          <w:szCs w:val="21"/>
          <w:lang w:val="en-US" w:eastAsia="zh-CN" w:bidi="ar"/>
        </w:rPr>
        <w:t>:</w:t>
      </w:r>
      <w:r>
        <w:rPr>
          <w:bCs/>
          <w:color w:val="auto"/>
          <w:szCs w:val="21"/>
          <w:lang w:val="en-US" w:eastAsia="zh-CN" w:bidi="ar"/>
        </w:rPr>
        <w:t xml:space="preserve"> Here the SINR=S/(N+I</w:t>
      </w:r>
      <w:r>
        <w:rPr>
          <w:bCs/>
          <w:color w:val="auto"/>
          <w:szCs w:val="21"/>
          <w:vertAlign w:val="subscript"/>
          <w:lang w:val="en-US" w:eastAsia="zh-CN" w:bidi="ar"/>
        </w:rPr>
        <w:t xml:space="preserve">ICI </w:t>
      </w:r>
      <w:r>
        <w:rPr>
          <w:bCs/>
          <w:color w:val="auto"/>
          <w:szCs w:val="21"/>
          <w:lang w:val="en-US" w:eastAsia="zh-CN" w:bidi="ar"/>
        </w:rPr>
        <w:t>+</w:t>
      </w:r>
      <w:r>
        <w:rPr>
          <w:bCs/>
          <w:color w:val="auto"/>
          <w:szCs w:val="21"/>
          <w:vertAlign w:val="subscript"/>
          <w:lang w:val="en-US" w:eastAsia="zh-CN" w:bidi="ar"/>
        </w:rPr>
        <w:t xml:space="preserve"> </w:t>
      </w:r>
      <w:r>
        <w:rPr>
          <w:bCs/>
          <w:color w:val="auto"/>
          <w:szCs w:val="21"/>
          <w:lang w:val="en-US" w:eastAsia="zh-CN" w:bidi="ar"/>
        </w:rPr>
        <w:t>I</w:t>
      </w:r>
      <w:r>
        <w:rPr>
          <w:bCs/>
          <w:color w:val="auto"/>
          <w:szCs w:val="21"/>
          <w:vertAlign w:val="subscript"/>
          <w:lang w:val="en-US" w:eastAsia="zh-CN" w:bidi="ar"/>
        </w:rPr>
        <w:t>ACI</w:t>
      </w:r>
      <w:r>
        <w:rPr>
          <w:bCs/>
          <w:color w:val="auto"/>
          <w:szCs w:val="21"/>
          <w:lang w:val="en-US" w:eastAsia="zh-CN" w:bidi="ar"/>
        </w:rPr>
        <w:t>).</w:t>
      </w:r>
    </w:p>
    <w:p>
      <w:pPr>
        <w:widowControl w:val="0"/>
        <w:numPr>
          <w:ilvl w:val="1"/>
          <w:numId w:val="13"/>
        </w:numPr>
        <w:spacing w:after="120"/>
        <w:ind w:left="840" w:hanging="420"/>
        <w:jc w:val="both"/>
        <w:rPr>
          <w:color w:val="auto"/>
        </w:rPr>
      </w:pPr>
      <w:r>
        <w:rPr>
          <w:color w:val="auto"/>
          <w:szCs w:val="24"/>
          <w:lang w:val="en-US" w:eastAsia="zh-CN" w:bidi="ar"/>
        </w:rPr>
        <w:t>For TN, I</w:t>
      </w:r>
      <w:r>
        <w:rPr>
          <w:color w:val="auto"/>
          <w:szCs w:val="24"/>
          <w:vertAlign w:val="subscript"/>
          <w:lang w:val="en-US" w:eastAsia="zh-CN" w:bidi="ar"/>
        </w:rPr>
        <w:t>ACI</w:t>
      </w:r>
      <w:r>
        <w:rPr>
          <w:color w:val="auto"/>
          <w:szCs w:val="24"/>
          <w:lang w:val="en-US" w:eastAsia="zh-CN" w:bidi="ar"/>
        </w:rPr>
        <w:t xml:space="preserve"> is from synchronized ATG network using adjacent channel</w:t>
      </w:r>
    </w:p>
    <w:p>
      <w:pPr>
        <w:widowControl w:val="0"/>
        <w:numPr>
          <w:ilvl w:val="1"/>
          <w:numId w:val="13"/>
        </w:numPr>
        <w:spacing w:after="120"/>
        <w:ind w:left="840" w:hanging="420"/>
        <w:jc w:val="both"/>
        <w:rPr>
          <w:color w:val="auto"/>
        </w:rPr>
      </w:pPr>
      <w:r>
        <w:rPr>
          <w:color w:val="auto"/>
          <w:szCs w:val="24"/>
          <w:lang w:val="en-US" w:eastAsia="zh-CN" w:bidi="ar"/>
        </w:rPr>
        <w:t>For ATG, I</w:t>
      </w:r>
      <w:r>
        <w:rPr>
          <w:color w:val="auto"/>
          <w:szCs w:val="24"/>
          <w:vertAlign w:val="subscript"/>
          <w:lang w:val="en-US" w:eastAsia="zh-CN" w:bidi="ar"/>
        </w:rPr>
        <w:t>ACI</w:t>
      </w:r>
      <w:r>
        <w:rPr>
          <w:color w:val="auto"/>
          <w:szCs w:val="24"/>
          <w:lang w:val="en-US" w:eastAsia="zh-CN" w:bidi="ar"/>
        </w:rPr>
        <w:t xml:space="preserve"> is from synchronized TN network using adjacent channel and I</w:t>
      </w:r>
      <w:r>
        <w:rPr>
          <w:color w:val="auto"/>
          <w:szCs w:val="24"/>
          <w:vertAlign w:val="subscript"/>
          <w:lang w:val="en-US" w:eastAsia="zh-CN" w:bidi="ar"/>
        </w:rPr>
        <w:t>ICI</w:t>
      </w:r>
      <w:r>
        <w:rPr>
          <w:color w:val="auto"/>
          <w:szCs w:val="24"/>
          <w:lang w:val="en-US" w:eastAsia="zh-CN" w:bidi="ar"/>
        </w:rPr>
        <w:t xml:space="preserve"> is 0</w:t>
      </w:r>
    </w:p>
    <w:p>
      <w:pPr>
        <w:jc w:val="both"/>
        <w:rPr>
          <w:rFonts w:cs="Arial"/>
          <w:lang w:eastAsia="ja-JP"/>
        </w:rPr>
      </w:pPr>
      <w:r>
        <w:rPr>
          <w:rFonts w:cs="Arial"/>
        </w:rPr>
        <w:t xml:space="preserve">The below linked sheet captures the data of </w:t>
      </w:r>
      <w:r>
        <w:rPr>
          <w:rFonts w:hint="eastAsia" w:eastAsia="SimSun" w:cs="Arial"/>
          <w:lang w:val="en-US" w:eastAsia="zh-CN"/>
        </w:rPr>
        <w:t xml:space="preserve">calibration </w:t>
      </w:r>
      <w:r>
        <w:rPr>
          <w:rFonts w:cs="Arial"/>
        </w:rPr>
        <w:t>co-existence simulation study for all synchronized scenarios. More details on the assumptions can be found in the Cover page of the sheet.</w:t>
      </w:r>
    </w:p>
    <w:p>
      <w:pPr>
        <w:widowControl w:val="0"/>
        <w:numPr>
          <w:ilvl w:val="0"/>
          <w:numId w:val="0"/>
        </w:numPr>
        <w:overflowPunct w:val="0"/>
        <w:autoSpaceDE w:val="0"/>
        <w:autoSpaceDN w:val="0"/>
        <w:adjustRightInd w:val="0"/>
        <w:spacing w:after="120"/>
        <w:jc w:val="both"/>
        <w:textAlignment w:val="baseline"/>
        <w:rPr>
          <w:rFonts w:hint="eastAsia" w:eastAsia="SimSun"/>
          <w:lang w:eastAsia="zh-CN"/>
        </w:rPr>
      </w:pPr>
      <w:r>
        <w:rPr>
          <w:rFonts w:hint="eastAsia" w:eastAsia="SimSun"/>
          <w:lang w:eastAsia="zh-CN"/>
        </w:rPr>
        <w:object>
          <v:shape id="_x0000_i1093" o:spt="75" type="#_x0000_t75" style="height:65.5pt;width:72.5pt;" o:ole="t" filled="f" o:preferrelative="t" stroked="f" coordsize="21600,21600">
            <v:path/>
            <v:fill on="f" focussize="0,0"/>
            <v:stroke on="f"/>
            <v:imagedata r:id="rId219" o:title=""/>
            <o:lock v:ext="edit" aspectratio="t"/>
            <w10:wrap type="none"/>
            <w10:anchorlock/>
          </v:shape>
          <o:OLEObject Type="Embed" ProgID="Excel.Sheet.12" ShapeID="_x0000_i1093" DrawAspect="Icon" ObjectID="_1468075790" r:id="rId218">
            <o:LockedField>false</o:LockedField>
          </o:OLEObject>
        </w:object>
      </w:r>
    </w:p>
    <w:p>
      <w:pPr>
        <w:rPr>
          <w:rFonts w:eastAsia="SimSun"/>
          <w:lang w:eastAsia="zh-CN"/>
        </w:rPr>
      </w:pPr>
    </w:p>
    <w:p>
      <w:pPr>
        <w:pStyle w:val="2"/>
        <w:rPr>
          <w:rFonts w:hint="default"/>
          <w:lang w:val="en-US" w:eastAsia="zh-CN"/>
        </w:rPr>
      </w:pPr>
      <w:bookmarkStart w:id="849" w:name="_Toc59"/>
      <w:bookmarkStart w:id="850" w:name="_Toc24013"/>
      <w:bookmarkStart w:id="851" w:name="_Toc29141"/>
      <w:bookmarkStart w:id="852" w:name="_Toc11227"/>
      <w:bookmarkStart w:id="853" w:name="_Toc43"/>
      <w:r>
        <w:rPr>
          <w:rFonts w:hint="eastAsia"/>
          <w:lang w:eastAsia="zh-CN"/>
        </w:rPr>
        <w:t>Annex B:</w:t>
      </w:r>
      <w:r>
        <w:rPr>
          <w:rFonts w:hint="eastAsia"/>
          <w:lang w:eastAsia="zh-CN"/>
        </w:rPr>
        <w:tab/>
      </w:r>
      <w:r>
        <w:rPr>
          <w:rFonts w:hint="eastAsia"/>
          <w:lang w:eastAsia="zh-CN"/>
        </w:rPr>
        <w:t xml:space="preserve">Calibration results of </w:t>
      </w:r>
      <w:r>
        <w:rPr>
          <w:rFonts w:hint="eastAsia"/>
          <w:lang w:val="en-US" w:eastAsia="zh-CN"/>
        </w:rPr>
        <w:t>non-synchronized operation</w:t>
      </w:r>
      <w:bookmarkEnd w:id="849"/>
      <w:bookmarkEnd w:id="850"/>
      <w:bookmarkEnd w:id="851"/>
      <w:bookmarkEnd w:id="852"/>
      <w:bookmarkEnd w:id="853"/>
    </w:p>
    <w:p>
      <w:pPr>
        <w:pStyle w:val="3"/>
      </w:pPr>
      <w:bookmarkStart w:id="854" w:name="_Toc22378"/>
      <w:bookmarkStart w:id="855" w:name="_Toc9700"/>
      <w:bookmarkStart w:id="856" w:name="_Toc10037"/>
      <w:bookmarkStart w:id="857" w:name="_Toc14031"/>
      <w:bookmarkStart w:id="858" w:name="_Toc31738"/>
      <w:r>
        <w:t>B.1</w:t>
      </w:r>
      <w:r>
        <w:tab/>
      </w:r>
      <w:r>
        <w:t>Calibration assumptions</w:t>
      </w:r>
      <w:bookmarkEnd w:id="854"/>
      <w:bookmarkEnd w:id="855"/>
      <w:bookmarkEnd w:id="856"/>
      <w:bookmarkEnd w:id="857"/>
      <w:bookmarkEnd w:id="858"/>
    </w:p>
    <w:p>
      <w:r>
        <w:rPr>
          <w:rFonts w:hint="eastAsia" w:eastAsia="SimSun"/>
          <w:lang w:val="en-US" w:eastAsia="zh-CN"/>
        </w:rPr>
        <w:t xml:space="preserve">The calibration assumptions is the same as listed in clause 6.2 and 6.3. </w:t>
      </w:r>
    </w:p>
    <w:p>
      <w:pPr>
        <w:pStyle w:val="3"/>
        <w:rPr>
          <w:rFonts w:hint="eastAsia" w:eastAsia="SimSun"/>
          <w:lang w:val="en-US" w:eastAsia="zh-CN"/>
        </w:rPr>
      </w:pPr>
      <w:bookmarkStart w:id="859" w:name="_Toc24827"/>
      <w:bookmarkStart w:id="860" w:name="_Toc25416"/>
      <w:bookmarkStart w:id="861" w:name="_Toc9534"/>
      <w:bookmarkStart w:id="862" w:name="_Toc24997"/>
      <w:bookmarkStart w:id="863" w:name="_Toc32250"/>
      <w:r>
        <w:t>B.2</w:t>
      </w:r>
      <w:r>
        <w:tab/>
      </w:r>
      <w:r>
        <w:t>Calibration results at 2GHz</w:t>
      </w:r>
      <w:r>
        <w:rPr>
          <w:rFonts w:hint="eastAsia" w:eastAsia="SimSun"/>
          <w:lang w:val="en-US" w:eastAsia="zh-CN"/>
        </w:rPr>
        <w:t xml:space="preserve"> and 4GHz</w:t>
      </w:r>
      <w:bookmarkEnd w:id="859"/>
      <w:bookmarkEnd w:id="860"/>
      <w:bookmarkEnd w:id="861"/>
      <w:bookmarkEnd w:id="862"/>
      <w:bookmarkEnd w:id="863"/>
    </w:p>
    <w:p>
      <w:r>
        <w:rPr>
          <w:rStyle w:val="54"/>
          <w:rFonts w:hint="eastAsia" w:eastAsiaTheme="minorEastAsia"/>
          <w:i w:val="0"/>
          <w:iCs w:val="0"/>
          <w:sz w:val="21"/>
          <w:szCs w:val="21"/>
          <w:shd w:val="clear" w:color="auto" w:fill="FFFFFF"/>
          <w:lang w:val="en-US" w:eastAsia="zh-CN"/>
        </w:rPr>
        <w:t>F</w:t>
      </w:r>
      <w:r>
        <w:rPr>
          <w:rStyle w:val="54"/>
          <w:rFonts w:eastAsiaTheme="minorEastAsia"/>
          <w:i w:val="0"/>
          <w:iCs w:val="0"/>
          <w:sz w:val="21"/>
          <w:szCs w:val="21"/>
          <w:shd w:val="clear" w:color="auto" w:fill="FFFFFF"/>
          <w:lang w:val="en-US" w:eastAsia="zh-CN"/>
        </w:rPr>
        <w:t xml:space="preserve">or non-synchronized </w:t>
      </w:r>
      <w:r>
        <w:rPr>
          <w:rStyle w:val="54"/>
          <w:rFonts w:hint="eastAsia" w:eastAsiaTheme="minorEastAsia"/>
          <w:i w:val="0"/>
          <w:iCs w:val="0"/>
          <w:sz w:val="21"/>
          <w:szCs w:val="21"/>
          <w:shd w:val="clear" w:color="auto" w:fill="FFFFFF"/>
          <w:lang w:val="en-US" w:eastAsia="zh-CN"/>
        </w:rPr>
        <w:t xml:space="preserve">operation, </w:t>
      </w:r>
      <w:r>
        <w:rPr>
          <w:rStyle w:val="54"/>
          <w:rFonts w:eastAsiaTheme="minorEastAsia"/>
          <w:i w:val="0"/>
          <w:iCs w:val="0"/>
          <w:sz w:val="21"/>
          <w:szCs w:val="21"/>
          <w:shd w:val="clear" w:color="auto" w:fill="FFFFFF"/>
          <w:lang w:val="en-US" w:eastAsia="zh-CN"/>
        </w:rPr>
        <w:t xml:space="preserve">the </w:t>
      </w:r>
      <w:r>
        <w:rPr>
          <w:rStyle w:val="54"/>
          <w:rFonts w:hint="eastAsia" w:eastAsiaTheme="minorEastAsia"/>
          <w:i w:val="0"/>
          <w:iCs w:val="0"/>
          <w:sz w:val="21"/>
          <w:szCs w:val="21"/>
          <w:shd w:val="clear" w:color="auto" w:fill="FFFFFF"/>
          <w:lang w:val="en-US" w:eastAsia="zh-CN"/>
        </w:rPr>
        <w:t xml:space="preserve">performance </w:t>
      </w:r>
      <w:r>
        <w:rPr>
          <w:rStyle w:val="54"/>
          <w:rFonts w:eastAsiaTheme="minorEastAsia"/>
          <w:i w:val="0"/>
          <w:iCs w:val="0"/>
          <w:sz w:val="21"/>
          <w:szCs w:val="21"/>
          <w:shd w:val="clear" w:color="auto" w:fill="FFFFFF"/>
          <w:lang w:val="en-US" w:eastAsia="zh-CN"/>
        </w:rPr>
        <w:t>metric to be calibrated would be</w:t>
      </w:r>
      <w:r>
        <w:rPr>
          <w:rStyle w:val="54"/>
          <w:rFonts w:hint="eastAsia" w:eastAsiaTheme="minorEastAsia"/>
          <w:i w:val="0"/>
          <w:iCs w:val="0"/>
          <w:sz w:val="21"/>
          <w:szCs w:val="21"/>
          <w:shd w:val="clear" w:color="auto" w:fill="FFFFFF"/>
          <w:lang w:val="en-US" w:eastAsia="zh-CN"/>
        </w:rPr>
        <w:t xml:space="preserve"> the </w:t>
      </w:r>
      <w:r>
        <w:rPr>
          <w:rStyle w:val="54"/>
          <w:rFonts w:eastAsiaTheme="minorEastAsia"/>
          <w:i w:val="0"/>
          <w:iCs w:val="0"/>
          <w:sz w:val="21"/>
          <w:szCs w:val="21"/>
          <w:shd w:val="clear" w:color="auto" w:fill="FFFFFF"/>
          <w:lang w:val="en-US" w:eastAsia="zh-CN"/>
        </w:rPr>
        <w:t xml:space="preserve">Cross coupling loss between ATG BS and TN BS with 0 azimuth angle </w:t>
      </w:r>
      <w:r>
        <w:rPr>
          <w:rStyle w:val="54"/>
          <w:rFonts w:eastAsiaTheme="minorEastAsia"/>
          <w:i w:val="0"/>
          <w:iCs w:val="0"/>
          <w:sz w:val="21"/>
          <w:szCs w:val="21"/>
          <w:lang w:val="en-US" w:eastAsia="zh-CN"/>
        </w:rPr>
        <w:t>(TN and ATG BS on the same horizontal line)</w:t>
      </w:r>
      <w:r>
        <w:rPr>
          <w:rStyle w:val="54"/>
          <w:rFonts w:hint="eastAsia" w:eastAsiaTheme="minorEastAsia"/>
          <w:i w:val="0"/>
          <w:iCs w:val="0"/>
          <w:sz w:val="21"/>
          <w:szCs w:val="21"/>
          <w:lang w:val="en-US" w:eastAsia="zh-CN"/>
        </w:rPr>
        <w:t xml:space="preserve">. besides, </w:t>
      </w:r>
      <w:r>
        <w:rPr>
          <w:rStyle w:val="54"/>
          <w:rFonts w:eastAsiaTheme="minorEastAsia"/>
          <w:i w:val="0"/>
          <w:iCs w:val="0"/>
          <w:sz w:val="21"/>
          <w:szCs w:val="21"/>
          <w:shd w:val="clear" w:color="auto" w:fill="FFFFFF"/>
          <w:lang w:val="en-US" w:eastAsia="zh-CN"/>
        </w:rPr>
        <w:t>5 km isolation distance</w:t>
      </w:r>
      <w:r>
        <w:rPr>
          <w:rStyle w:val="54"/>
          <w:rFonts w:hint="eastAsia" w:eastAsiaTheme="minorEastAsia"/>
          <w:i w:val="0"/>
          <w:iCs w:val="0"/>
          <w:sz w:val="21"/>
          <w:szCs w:val="21"/>
          <w:shd w:val="clear" w:color="auto" w:fill="FFFFFF"/>
          <w:lang w:val="en-US" w:eastAsia="zh-CN"/>
        </w:rPr>
        <w:t xml:space="preserve"> is assumed between ATG BS and nearest TN BS.</w:t>
      </w:r>
    </w:p>
    <w:p>
      <w:pPr>
        <w:jc w:val="both"/>
        <w:rPr>
          <w:lang w:eastAsia="zh-CN"/>
        </w:rPr>
      </w:pPr>
      <w:r>
        <w:rPr>
          <w:rFonts w:cs="Arial"/>
        </w:rPr>
        <w:t xml:space="preserve">The below linked sheet captures the data of </w:t>
      </w:r>
      <w:r>
        <w:rPr>
          <w:rFonts w:hint="eastAsia" w:eastAsia="SimSun" w:cs="Arial"/>
          <w:lang w:val="en-US" w:eastAsia="zh-CN"/>
        </w:rPr>
        <w:t xml:space="preserve">calibration </w:t>
      </w:r>
      <w:r>
        <w:rPr>
          <w:rFonts w:cs="Arial"/>
        </w:rPr>
        <w:t xml:space="preserve">co-existence simulation study for all </w:t>
      </w:r>
      <w:r>
        <w:rPr>
          <w:rFonts w:hint="eastAsia" w:cs="Arial"/>
          <w:lang w:val="en-US" w:eastAsia="zh-CN"/>
        </w:rPr>
        <w:t>non-</w:t>
      </w:r>
      <w:r>
        <w:rPr>
          <w:rFonts w:cs="Arial"/>
        </w:rPr>
        <w:t xml:space="preserve">synchronized scenarios. </w:t>
      </w:r>
    </w:p>
    <w:bookmarkEnd w:id="837"/>
    <w:bookmarkEnd w:id="838"/>
    <w:p>
      <w:r>
        <w:rPr>
          <w:rFonts w:hint="eastAsia" w:eastAsia="SimSun"/>
          <w:lang w:val="en-GB" w:eastAsia="zh-CN"/>
        </w:rPr>
        <w:object>
          <v:shape id="_x0000_i1095" o:spt="75" type="#_x0000_t75" style="height:65.5pt;width:72.5pt;" o:ole="t" filled="f" o:preferrelative="t" stroked="f" coordsize="21600,21600">
            <v:path/>
            <v:fill on="f" focussize="0,0"/>
            <v:stroke on="f"/>
            <v:imagedata r:id="rId221" o:title=""/>
            <o:lock v:ext="edit" aspectratio="t"/>
            <w10:wrap type="none"/>
            <w10:anchorlock/>
          </v:shape>
          <o:OLEObject Type="Embed" ProgID="Excel.Sheet.12" ShapeID="_x0000_i1095" DrawAspect="Icon" ObjectID="_1468075791" r:id="rId220">
            <o:LockedField>false</o:LockedField>
          </o:OLEObject>
        </w:object>
      </w:r>
    </w:p>
    <w:p>
      <w:pPr>
        <w:pStyle w:val="2"/>
        <w:rPr>
          <w:rFonts w:hint="eastAsia" w:eastAsia="Times New Roman"/>
          <w:lang w:eastAsia="zh-CN"/>
        </w:rPr>
      </w:pPr>
      <w:r>
        <w:rPr>
          <w:rFonts w:hint="eastAsia" w:eastAsia="Times New Roman"/>
          <w:lang w:eastAsia="zh-CN"/>
        </w:rPr>
        <w:t xml:space="preserve"> </w:t>
      </w:r>
      <w:bookmarkStart w:id="864" w:name="_Toc30722"/>
      <w:bookmarkStart w:id="865" w:name="_Toc27229"/>
      <w:bookmarkStart w:id="866" w:name="_Toc12364"/>
      <w:bookmarkStart w:id="867" w:name="_Toc8353"/>
      <w:bookmarkStart w:id="868" w:name="_Toc29720"/>
      <w:r>
        <w:rPr>
          <w:rFonts w:hint="eastAsia" w:eastAsia="Times New Roman"/>
          <w:lang w:eastAsia="zh-CN"/>
        </w:rPr>
        <w:t>Annex C</w:t>
      </w:r>
      <w:r>
        <w:rPr>
          <w:rFonts w:hint="eastAsia"/>
          <w:lang w:val="en-US" w:eastAsia="zh-CN"/>
        </w:rPr>
        <w:t>:</w:t>
      </w:r>
      <w:r>
        <w:rPr>
          <w:rFonts w:hint="eastAsia" w:eastAsia="Times New Roman"/>
          <w:lang w:eastAsia="zh-CN"/>
        </w:rPr>
        <w:t xml:space="preserve"> Co-existence scenarios simulation data</w:t>
      </w:r>
      <w:bookmarkEnd w:id="864"/>
      <w:bookmarkEnd w:id="865"/>
      <w:bookmarkEnd w:id="866"/>
      <w:bookmarkEnd w:id="867"/>
      <w:bookmarkEnd w:id="868"/>
    </w:p>
    <w:p>
      <w:pPr>
        <w:pStyle w:val="3"/>
        <w:jc w:val="both"/>
      </w:pPr>
      <w:bookmarkStart w:id="869" w:name="_Toc20240"/>
      <w:bookmarkStart w:id="870" w:name="_Toc25573"/>
      <w:bookmarkStart w:id="871" w:name="_Toc430"/>
      <w:bookmarkStart w:id="872" w:name="_Toc17566"/>
      <w:bookmarkStart w:id="873" w:name="_Toc30784"/>
      <w:r>
        <w:t>C.1 Synchronized scenarios</w:t>
      </w:r>
      <w:bookmarkEnd w:id="869"/>
      <w:bookmarkEnd w:id="870"/>
      <w:bookmarkEnd w:id="871"/>
      <w:bookmarkEnd w:id="872"/>
      <w:bookmarkEnd w:id="873"/>
    </w:p>
    <w:p>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pPr>
        <w:jc w:val="both"/>
        <w:rPr>
          <w:rFonts w:cs="Arial"/>
          <w:lang w:eastAsia="ja-JP"/>
        </w:rPr>
      </w:pPr>
      <w:r>
        <w:rPr>
          <w:rFonts w:cs="Arial"/>
          <w:lang w:eastAsia="ja-JP"/>
        </w:rPr>
        <w:object>
          <v:shape id="_x0000_i1096" o:spt="75" type="#_x0000_t75" style="height:58.5pt;width:90pt;" o:ole="t" filled="f" o:preferrelative="t" stroked="f" coordsize="21600,21600">
            <v:path/>
            <v:fill on="f" focussize="0,0"/>
            <v:stroke on="f" joinstyle="miter"/>
            <v:imagedata r:id="rId223" o:title=""/>
            <o:lock v:ext="edit" aspectratio="t"/>
            <w10:wrap type="none"/>
            <w10:anchorlock/>
          </v:shape>
          <o:OLEObject Type="Embed" ProgID="Excel.Sheet.12" ShapeID="_x0000_i1096" DrawAspect="Icon" ObjectID="_1468075792" r:id="rId222">
            <o:LockedField>false</o:LockedField>
          </o:OLEObject>
        </w:object>
      </w:r>
    </w:p>
    <w:p>
      <w:pPr>
        <w:pStyle w:val="3"/>
        <w:jc w:val="both"/>
      </w:pPr>
      <w:bookmarkStart w:id="874" w:name="_Toc26847"/>
      <w:bookmarkStart w:id="875" w:name="_Toc26028"/>
      <w:bookmarkStart w:id="876" w:name="_Toc16752"/>
      <w:bookmarkStart w:id="877" w:name="_Toc22601"/>
      <w:bookmarkStart w:id="878" w:name="_Toc15263"/>
      <w:r>
        <w:t>C.2 Non-Synchronized scenarios</w:t>
      </w:r>
      <w:bookmarkEnd w:id="874"/>
      <w:bookmarkEnd w:id="875"/>
      <w:bookmarkEnd w:id="876"/>
      <w:bookmarkEnd w:id="877"/>
      <w:bookmarkEnd w:id="878"/>
    </w:p>
    <w:p>
      <w:pPr>
        <w:rPr>
          <w:lang w:val="en-GB" w:eastAsia="ja-JP"/>
        </w:rPr>
      </w:pPr>
      <w:r>
        <w:rPr>
          <w:lang w:val="en-GB" w:eastAsia="ja-JP"/>
        </w:rPr>
        <w:t>The below linked sheet captures the data of co-existence simulation results for non-synchronized scenarios. More details can be found in the Cover page of the sheet.</w:t>
      </w:r>
    </w:p>
    <w:p>
      <w:pPr>
        <w:rPr>
          <w:lang w:val="en-GB" w:eastAsia="ja-JP"/>
        </w:rPr>
      </w:pPr>
      <w:r>
        <w:rPr>
          <w:lang w:val="en-GB" w:eastAsia="ja-JP"/>
        </w:rPr>
        <w:t>Note – Some companies opted to only capture the results in the form of tables (Sub-clause 6.4.2)</w:t>
      </w:r>
    </w:p>
    <w:p>
      <w:pPr>
        <w:rPr>
          <w:lang w:eastAsia="ja-JP"/>
        </w:rPr>
      </w:pPr>
    </w:p>
    <w:p>
      <w:pPr>
        <w:rPr>
          <w:lang w:eastAsia="ja-JP"/>
        </w:rPr>
      </w:pPr>
      <w:r>
        <w:rPr>
          <w:lang w:eastAsia="ja-JP"/>
        </w:rPr>
        <w:object>
          <v:shape id="_x0000_i1097" o:spt="75" type="#_x0000_t75" style="height:43.2pt;width:66.8pt;" o:ole="t" filled="f" o:preferrelative="t" stroked="f" coordsize="21600,21600">
            <v:path/>
            <v:fill on="f" focussize="0,0"/>
            <v:stroke on="f" joinstyle="miter"/>
            <v:imagedata r:id="rId225" o:title=""/>
            <o:lock v:ext="edit" aspectratio="t"/>
            <w10:wrap type="none"/>
            <w10:anchorlock/>
          </v:shape>
          <o:OLEObject Type="Embed" ProgID="Excel.Sheet.12" ShapeID="_x0000_i1097" DrawAspect="Icon" ObjectID="_1468075793" r:id="rId224">
            <o:LockedField>false</o:LockedField>
          </o:OLEObject>
        </w:object>
      </w:r>
    </w:p>
    <w:p>
      <w:pPr>
        <w:pStyle w:val="2"/>
        <w:rPr>
          <w:rFonts w:hint="eastAsia"/>
          <w:lang w:eastAsia="zh-CN"/>
        </w:rPr>
      </w:pPr>
      <w:bookmarkStart w:id="879" w:name="_Toc26396"/>
      <w:bookmarkStart w:id="880" w:name="_Toc15444"/>
      <w:bookmarkStart w:id="881" w:name="_Toc30490"/>
      <w:bookmarkStart w:id="882" w:name="_Toc969"/>
      <w:bookmarkStart w:id="883" w:name="_Toc15866"/>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bookmarkEnd w:id="879"/>
      <w:bookmarkEnd w:id="880"/>
      <w:bookmarkEnd w:id="881"/>
      <w:bookmarkEnd w:id="882"/>
      <w:bookmarkEnd w:id="883"/>
    </w:p>
    <w:p>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pPr>
        <w:pStyle w:val="3"/>
        <w:jc w:val="both"/>
        <w:rPr>
          <w:lang w:eastAsia="ja-JP"/>
        </w:rPr>
      </w:pPr>
      <w:bookmarkStart w:id="884" w:name="_Toc12302"/>
      <w:bookmarkStart w:id="885" w:name="_Toc26780"/>
      <w:bookmarkStart w:id="886" w:name="_Toc27166"/>
      <w:bookmarkStart w:id="887" w:name="_Toc28345"/>
      <w:bookmarkStart w:id="888" w:name="_Toc3527"/>
      <w:r>
        <w:rPr>
          <w:lang w:eastAsia="ja-JP"/>
        </w:rPr>
        <w:t>D.1 Synchronized scenarios</w:t>
      </w:r>
      <w:bookmarkEnd w:id="884"/>
      <w:bookmarkEnd w:id="885"/>
      <w:bookmarkEnd w:id="886"/>
      <w:bookmarkEnd w:id="887"/>
      <w:bookmarkEnd w:id="888"/>
    </w:p>
    <w:p>
      <w:pPr>
        <w:pStyle w:val="4"/>
        <w:jc w:val="both"/>
        <w:rPr>
          <w:lang w:eastAsia="ja-JP"/>
        </w:rPr>
      </w:pPr>
      <w:bookmarkStart w:id="889" w:name="_Toc10435"/>
      <w:bookmarkStart w:id="890" w:name="_Toc19417"/>
      <w:bookmarkStart w:id="891" w:name="_Toc16527"/>
      <w:bookmarkStart w:id="892" w:name="_Toc30273"/>
      <w:bookmarkStart w:id="893" w:name="_Toc5489"/>
      <w:r>
        <w:rPr>
          <w:lang w:val="en-IN" w:eastAsia="ja-JP"/>
        </w:rPr>
        <w:t xml:space="preserve">D.1.1  </w:t>
      </w:r>
      <w:r>
        <w:rPr>
          <w:lang w:eastAsia="ja-JP"/>
        </w:rPr>
        <w:t>Impact of the number of TN BS columns</w:t>
      </w:r>
      <w:bookmarkEnd w:id="889"/>
      <w:bookmarkEnd w:id="890"/>
      <w:bookmarkEnd w:id="891"/>
      <w:bookmarkEnd w:id="892"/>
      <w:bookmarkEnd w:id="893"/>
    </w:p>
    <w:p>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pPr>
        <w:jc w:val="both"/>
        <w:rPr>
          <w:rFonts w:cs="Arial"/>
          <w:lang w:val="en-IN" w:eastAsia="ja-JP"/>
        </w:rPr>
      </w:pPr>
      <w:r>
        <w:rPr>
          <w:rFonts w:cs="Arial"/>
          <w:lang w:val="en-IN" w:eastAsia="ja-JP"/>
        </w:rPr>
        <w:t xml:space="preserve">The linked excel sheet provides detailed plots for the Scenarios 9-12. </w:t>
      </w:r>
    </w:p>
    <w:p>
      <w:pPr>
        <w:jc w:val="both"/>
        <w:rPr>
          <w:rFonts w:cs="Arial"/>
          <w:lang w:val="en-IN" w:eastAsia="ja-JP"/>
        </w:rPr>
      </w:pPr>
      <w:r>
        <w:rPr>
          <w:rFonts w:cs="Arial"/>
          <w:lang w:val="en-IN" w:eastAsia="ja-JP"/>
        </w:rPr>
        <w:object>
          <v:shape id="_x0000_i1099" o:spt="75" type="#_x0000_t75" style="height:53pt;width:81.5pt;" o:ole="t" filled="f" o:preferrelative="t" stroked="f" coordsize="21600,21600">
            <v:path/>
            <v:fill on="f" focussize="0,0"/>
            <v:stroke on="f" joinstyle="miter"/>
            <v:imagedata r:id="rId227" o:title=""/>
            <o:lock v:ext="edit" aspectratio="t"/>
            <w10:wrap type="none"/>
            <w10:anchorlock/>
          </v:shape>
          <o:OLEObject Type="Embed" ProgID="Excel.Sheet.12" ShapeID="_x0000_i1099" DrawAspect="Icon" ObjectID="_1468075794" r:id="rId226">
            <o:LockedField>false</o:LockedField>
          </o:OLEObject>
        </w:object>
      </w:r>
    </w:p>
    <w:p>
      <w:pPr>
        <w:jc w:val="both"/>
        <w:rPr>
          <w:rFonts w:cs="Arial"/>
          <w:lang w:val="en-IN" w:eastAsia="ja-JP"/>
        </w:rPr>
      </w:pPr>
      <w:r>
        <w:rPr>
          <w:rFonts w:hint="eastAsia" w:eastAsia="SimSun"/>
          <w:lang w:val="en-US" w:eastAsia="zh-CN"/>
        </w:rPr>
        <w:t>It</w:t>
      </w:r>
      <w:r>
        <w:rPr>
          <w:rFonts w:hint="default" w:eastAsia="SimSun"/>
          <w:lang w:val="en-US" w:eastAsia="zh-CN"/>
        </w:rPr>
        <w:t>’</w:t>
      </w:r>
      <w:r>
        <w:rPr>
          <w:rFonts w:hint="eastAsia" w:eastAsia="SimSun"/>
          <w:lang w:val="en-US" w:eastAsia="zh-CN"/>
        </w:rPr>
        <w:t xml:space="preserve">s noted that </w:t>
      </w:r>
      <w:r>
        <w:rPr>
          <w:rFonts w:hint="eastAsia" w:eastAsia="SimSun" w:cs="Arial"/>
          <w:lang w:val="en-US" w:eastAsia="zh-CN"/>
        </w:rPr>
        <w:t>t</w:t>
      </w:r>
      <w:r>
        <w:rPr>
          <w:rFonts w:cs="Arial"/>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pPr>
        <w:pStyle w:val="4"/>
        <w:jc w:val="both"/>
        <w:rPr>
          <w:lang w:eastAsia="ja-JP"/>
        </w:rPr>
      </w:pPr>
      <w:bookmarkStart w:id="894" w:name="_Toc32714"/>
      <w:bookmarkStart w:id="895" w:name="_Toc3408"/>
      <w:bookmarkStart w:id="896" w:name="_Toc15046"/>
      <w:bookmarkStart w:id="897" w:name="_Toc23302"/>
      <w:bookmarkStart w:id="898" w:name="_Toc27683"/>
      <w:r>
        <w:rPr>
          <w:lang w:val="en-IN" w:eastAsia="ja-JP"/>
        </w:rPr>
        <w:t xml:space="preserve">D.1.2  </w:t>
      </w:r>
      <w:r>
        <w:rPr>
          <w:lang w:eastAsia="ja-JP"/>
        </w:rPr>
        <w:t>Impact of ATG UE antenna type</w:t>
      </w:r>
      <w:bookmarkEnd w:id="894"/>
      <w:bookmarkEnd w:id="895"/>
      <w:bookmarkEnd w:id="896"/>
      <w:bookmarkEnd w:id="897"/>
      <w:bookmarkEnd w:id="898"/>
    </w:p>
    <w:p>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pPr>
        <w:jc w:val="both"/>
        <w:rPr>
          <w:rFonts w:cs="Arial"/>
          <w:lang w:val="en-IN" w:eastAsia="ja-JP"/>
        </w:rPr>
      </w:pPr>
      <w:r>
        <w:rPr>
          <w:rFonts w:cs="Arial"/>
          <w:lang w:val="en-IN" w:eastAsia="ja-JP"/>
        </w:rPr>
        <w:t xml:space="preserve">The linked excel sheet provides detailed plots for the Scenarios 1-4. </w:t>
      </w:r>
    </w:p>
    <w:p>
      <w:pPr>
        <w:jc w:val="both"/>
        <w:rPr>
          <w:rFonts w:cs="Arial"/>
          <w:lang w:val="en-IN" w:eastAsia="ja-JP"/>
        </w:rPr>
      </w:pPr>
      <w:r>
        <w:rPr>
          <w:rFonts w:cs="Arial"/>
          <w:lang w:val="en-IN" w:eastAsia="ja-JP"/>
        </w:rPr>
        <w:object>
          <v:shape id="_x0000_i1101" o:spt="75" type="#_x0000_t75" style="height:53pt;width:81.5pt;" o:ole="t" filled="f" o:preferrelative="t" stroked="f" coordsize="21600,21600">
            <v:path/>
            <v:fill on="f" focussize="0,0"/>
            <v:stroke on="f" joinstyle="miter"/>
            <v:imagedata r:id="rId229" o:title=""/>
            <o:lock v:ext="edit" aspectratio="t"/>
            <w10:wrap type="none"/>
            <w10:anchorlock/>
          </v:shape>
          <o:OLEObject Type="Embed" ProgID="Excel.Sheet.12" ShapeID="_x0000_i1101" DrawAspect="Icon" ObjectID="_1468075795" r:id="rId228">
            <o:LockedField>false</o:LockedField>
          </o:OLEObject>
        </w:object>
      </w:r>
    </w:p>
    <w:p>
      <w:pPr>
        <w:jc w:val="both"/>
        <w:rPr>
          <w:rFonts w:cs="Arial"/>
          <w:lang w:val="en-IN" w:eastAsia="ja-JP"/>
        </w:rPr>
      </w:pPr>
      <w:r>
        <w:rPr>
          <w:rFonts w:hint="eastAsia" w:eastAsia="SimSun"/>
          <w:lang w:val="en-US" w:eastAsia="zh-CN"/>
        </w:rPr>
        <w:t>It</w:t>
      </w:r>
      <w:r>
        <w:rPr>
          <w:rFonts w:hint="default" w:eastAsia="SimSun"/>
          <w:lang w:val="en-US" w:eastAsia="zh-CN"/>
        </w:rPr>
        <w:t>’</w:t>
      </w:r>
      <w:r>
        <w:rPr>
          <w:rFonts w:hint="eastAsia" w:eastAsia="SimSun"/>
          <w:lang w:val="en-US" w:eastAsia="zh-CN"/>
        </w:rPr>
        <w:t xml:space="preserve">s noted </w:t>
      </w:r>
      <w:r>
        <w:rPr>
          <w:rFonts w:hint="eastAsia" w:eastAsia="SimSun" w:cs="Arial"/>
          <w:lang w:val="en-US" w:eastAsia="zh-CN"/>
        </w:rPr>
        <w:t>t</w:t>
      </w:r>
      <w:r>
        <w:rPr>
          <w:rFonts w:cs="Arial"/>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pPr>
        <w:keepNext/>
        <w:jc w:val="both"/>
      </w:pPr>
      <w:r>
        <w:rPr>
          <w:rFonts w:cs="Arial"/>
        </w:rPr>
        <w:drawing>
          <wp:inline distT="0" distB="0" distL="0" distR="0">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pPr>
        <w:pStyle w:val="28"/>
        <w:jc w:val="center"/>
        <w:rPr>
          <w:rFonts w:ascii="Arial" w:hAnsi="Arial" w:cs="Arial"/>
          <w:lang w:val="en-IN" w:eastAsia="ja-JP"/>
        </w:rPr>
      </w:pPr>
      <w:r>
        <w:rPr>
          <w:rFonts w:ascii="Arial" w:hAnsi="Arial" w:cs="Arial"/>
        </w:rPr>
        <w:t>Figure D.1.2-1: Simulation results for Throughput Loss - 5% of users in the whole network</w:t>
      </w:r>
    </w:p>
    <w:p>
      <w:pPr>
        <w:pStyle w:val="4"/>
        <w:jc w:val="both"/>
        <w:rPr>
          <w:lang w:eastAsia="ja-JP"/>
        </w:rPr>
      </w:pPr>
      <w:bookmarkStart w:id="899" w:name="_Toc18990"/>
      <w:bookmarkStart w:id="900" w:name="_Toc11123"/>
      <w:bookmarkStart w:id="901" w:name="_Toc9304"/>
      <w:bookmarkStart w:id="902" w:name="_Toc17085"/>
      <w:bookmarkStart w:id="903" w:name="_Toc6080"/>
      <w:r>
        <w:rPr>
          <w:lang w:val="en-IN" w:eastAsia="ja-JP"/>
        </w:rPr>
        <w:t xml:space="preserve">D.1.3  </w:t>
      </w:r>
      <w:r>
        <w:rPr>
          <w:lang w:eastAsia="ja-JP"/>
        </w:rPr>
        <w:t>Impact of ATG-TN BS antennas collocation</w:t>
      </w:r>
      <w:bookmarkEnd w:id="899"/>
      <w:bookmarkEnd w:id="900"/>
      <w:bookmarkEnd w:id="901"/>
      <w:bookmarkEnd w:id="902"/>
      <w:bookmarkEnd w:id="903"/>
    </w:p>
    <w:p>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pPr>
        <w:jc w:val="both"/>
        <w:rPr>
          <w:rFonts w:cs="Arial"/>
          <w:lang w:val="en-IN" w:eastAsia="ja-JP"/>
        </w:rPr>
      </w:pPr>
      <w:r>
        <w:rPr>
          <w:rFonts w:cs="Arial"/>
          <w:lang w:val="en-IN" w:eastAsia="ja-JP"/>
        </w:rPr>
        <w:t xml:space="preserve">The linked excel sheet provides detailed plots for the Scenarios 2,3,10 and 11. </w:t>
      </w:r>
    </w:p>
    <w:p>
      <w:pPr>
        <w:jc w:val="both"/>
        <w:rPr>
          <w:rFonts w:cs="Arial"/>
          <w:lang w:val="en-IN" w:eastAsia="ja-JP"/>
        </w:rPr>
      </w:pPr>
      <w:r>
        <w:rPr>
          <w:rFonts w:cs="Arial"/>
          <w:lang w:val="en-IN" w:eastAsia="ja-JP"/>
        </w:rPr>
        <w:object>
          <v:shape id="_x0000_i1103" o:spt="75" type="#_x0000_t75" style="height:53pt;width:81.5pt;" o:ole="t" filled="f" o:preferrelative="t" stroked="f" coordsize="21600,21600">
            <v:path/>
            <v:fill on="f" focussize="0,0"/>
            <v:stroke on="f" joinstyle="miter"/>
            <v:imagedata r:id="rId232" o:title=""/>
            <o:lock v:ext="edit" aspectratio="t"/>
            <w10:wrap type="none"/>
            <w10:anchorlock/>
          </v:shape>
          <o:OLEObject Type="Embed" ProgID="Excel.Sheet.12" ShapeID="_x0000_i1103" DrawAspect="Icon" ObjectID="_1468075796" r:id="rId231">
            <o:LockedField>false</o:LockedField>
          </o:OLEObject>
        </w:object>
      </w:r>
    </w:p>
    <w:p>
      <w:pPr>
        <w:jc w:val="both"/>
        <w:rPr>
          <w:rFonts w:cs="Arial"/>
          <w:lang w:val="en-IN" w:eastAsia="ja-JP"/>
        </w:rPr>
      </w:pPr>
      <w:r>
        <w:rPr>
          <w:rFonts w:hint="eastAsia" w:eastAsia="SimSun"/>
          <w:lang w:val="en-US" w:eastAsia="zh-CN"/>
        </w:rPr>
        <w:t>It</w:t>
      </w:r>
      <w:r>
        <w:rPr>
          <w:rFonts w:hint="default" w:eastAsia="SimSun"/>
          <w:lang w:val="en-US" w:eastAsia="zh-CN"/>
        </w:rPr>
        <w:t>’</w:t>
      </w:r>
      <w:r>
        <w:rPr>
          <w:rFonts w:hint="eastAsia" w:eastAsia="SimSun"/>
          <w:lang w:val="en-US" w:eastAsia="zh-CN"/>
        </w:rPr>
        <w:t xml:space="preserve">s noted that </w:t>
      </w:r>
      <w:r>
        <w:rPr>
          <w:rFonts w:hint="eastAsia" w:eastAsia="SimSun" w:cs="Arial"/>
          <w:lang w:val="en-US" w:eastAsia="zh-CN"/>
        </w:rPr>
        <w:t>t</w:t>
      </w:r>
      <w:r>
        <w:rPr>
          <w:rFonts w:cs="Arial"/>
          <w:lang w:val="en-IN" w:eastAsia="ja-JP"/>
        </w:rPr>
        <w:t xml:space="preserve">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pPr>
        <w:pStyle w:val="4"/>
        <w:jc w:val="both"/>
        <w:rPr>
          <w:lang w:eastAsia="ja-JP"/>
        </w:rPr>
      </w:pPr>
      <w:bookmarkStart w:id="904" w:name="_Toc14098"/>
      <w:bookmarkStart w:id="905" w:name="_Toc26828"/>
      <w:bookmarkStart w:id="906" w:name="_Toc28684"/>
      <w:bookmarkStart w:id="907" w:name="_Toc11397"/>
      <w:bookmarkStart w:id="908" w:name="_Toc28963"/>
      <w:r>
        <w:rPr>
          <w:lang w:val="en-IN" w:eastAsia="ja-JP"/>
        </w:rPr>
        <w:t xml:space="preserve">D.1.4  </w:t>
      </w:r>
      <w:r>
        <w:rPr>
          <w:lang w:eastAsia="ja-JP"/>
        </w:rPr>
        <w:t>Impact of ATG UE height distribution</w:t>
      </w:r>
      <w:bookmarkEnd w:id="904"/>
      <w:bookmarkEnd w:id="905"/>
      <w:bookmarkEnd w:id="906"/>
      <w:bookmarkEnd w:id="907"/>
      <w:bookmarkEnd w:id="908"/>
    </w:p>
    <w:p>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pPr>
        <w:jc w:val="both"/>
        <w:rPr>
          <w:rFonts w:cs="Arial"/>
          <w:lang w:val="en-IN" w:eastAsia="ja-JP"/>
        </w:rPr>
      </w:pPr>
      <w:r>
        <w:rPr>
          <w:rFonts w:cs="Arial"/>
          <w:lang w:val="en-IN" w:eastAsia="ja-JP"/>
        </w:rPr>
        <w:t xml:space="preserve">The linked excel sheet provides detailed plots for the Scenarios 1-4 and 9-12. </w:t>
      </w:r>
    </w:p>
    <w:p>
      <w:pPr>
        <w:jc w:val="both"/>
        <w:rPr>
          <w:rFonts w:cs="Arial"/>
          <w:lang w:val="en-IN" w:eastAsia="ja-JP"/>
        </w:rPr>
      </w:pPr>
      <w:r>
        <w:rPr>
          <w:rFonts w:cs="Arial"/>
          <w:lang w:val="en-IN" w:eastAsia="ja-JP"/>
        </w:rPr>
        <w:object>
          <v:shape id="_x0000_i1105" o:spt="75" type="#_x0000_t75" style="height:53pt;width:81.5pt;" o:ole="t" filled="f" o:preferrelative="t" stroked="f" coordsize="21600,21600">
            <v:path/>
            <v:fill on="f" focussize="0,0"/>
            <v:stroke on="f" joinstyle="miter"/>
            <v:imagedata r:id="rId234" o:title=""/>
            <o:lock v:ext="edit" aspectratio="t"/>
            <w10:wrap type="none"/>
            <w10:anchorlock/>
          </v:shape>
          <o:OLEObject Type="Embed" ProgID="Excel.Sheet.12" ShapeID="_x0000_i1105" DrawAspect="Icon" ObjectID="_1468075797" r:id="rId233">
            <o:LockedField>false</o:LockedField>
          </o:OLEObject>
        </w:object>
      </w:r>
    </w:p>
    <w:p>
      <w:pPr>
        <w:jc w:val="both"/>
        <w:rPr>
          <w:rFonts w:cs="Arial"/>
          <w:lang w:val="en-IN" w:eastAsia="ja-JP"/>
        </w:rPr>
      </w:pPr>
      <w:r>
        <w:rPr>
          <w:rFonts w:hint="eastAsia" w:eastAsia="SimSun"/>
          <w:lang w:val="en-US" w:eastAsia="zh-CN"/>
        </w:rPr>
        <w:t>It</w:t>
      </w:r>
      <w:r>
        <w:rPr>
          <w:rFonts w:hint="default" w:eastAsia="SimSun"/>
          <w:lang w:val="en-US" w:eastAsia="zh-CN"/>
        </w:rPr>
        <w:t>’</w:t>
      </w:r>
      <w:r>
        <w:rPr>
          <w:rFonts w:hint="eastAsia" w:eastAsia="SimSun"/>
          <w:lang w:val="en-US" w:eastAsia="zh-CN"/>
        </w:rPr>
        <w:t xml:space="preserve">s noted that </w:t>
      </w:r>
      <w:r>
        <w:rPr>
          <w:rFonts w:hint="eastAsia" w:eastAsia="SimSun" w:cs="Arial"/>
          <w:lang w:val="en-US" w:eastAsia="zh-CN"/>
        </w:rPr>
        <w:t>t</w:t>
      </w:r>
      <w:r>
        <w:rPr>
          <w:rFonts w:cs="Arial"/>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pPr>
        <w:jc w:val="both"/>
        <w:rPr>
          <w:rFonts w:cs="Arial"/>
          <w:lang w:val="en-IN" w:eastAsia="ja-JP"/>
        </w:rPr>
      </w:pPr>
      <w:r>
        <w:rPr>
          <w:rFonts w:cs="Arial"/>
        </w:rPr>
        <w:drawing>
          <wp:inline distT="0" distB="0" distL="0" distR="0">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pPr>
        <w:pStyle w:val="28"/>
        <w:jc w:val="center"/>
        <w:rPr>
          <w:rFonts w:ascii="Arial" w:hAnsi="Arial" w:cs="Arial"/>
          <w:lang w:val="en-IN" w:eastAsia="ja-JP"/>
        </w:rPr>
      </w:pPr>
      <w:r>
        <w:rPr>
          <w:rFonts w:ascii="Arial" w:hAnsi="Arial" w:cs="Arial"/>
        </w:rPr>
        <w:t>Figure D.1.4-1: Simulation results for Throughput Loss - 5% of users in the whole network</w:t>
      </w:r>
    </w:p>
    <w:p>
      <w:pPr>
        <w:jc w:val="both"/>
        <w:rPr>
          <w:rFonts w:ascii="Arial" w:hAnsi="Arial" w:cs="Arial"/>
          <w:lang w:val="en-IN" w:eastAsia="ja-JP"/>
        </w:rPr>
      </w:pPr>
      <w:r>
        <w:rPr>
          <w:rFonts w:ascii="Arial" w:hAnsi="Arial" w:cs="Arial"/>
        </w:rPr>
        <w:drawing>
          <wp:inline distT="0" distB="0" distL="0" distR="0">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pPr>
        <w:pStyle w:val="28"/>
        <w:jc w:val="center"/>
        <w:rPr>
          <w:rFonts w:ascii="Arial" w:hAnsi="Arial" w:cs="Arial"/>
          <w:lang w:val="en-IN" w:eastAsia="ja-JP"/>
        </w:rPr>
      </w:pPr>
      <w:r>
        <w:rPr>
          <w:rFonts w:ascii="Arial" w:hAnsi="Arial" w:cs="Arial"/>
        </w:rPr>
        <w:t>Figure D.1.4-2: Simulation results for Throughput Loss - 5% of users in the whole network</w:t>
      </w:r>
    </w:p>
    <w:p>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pPr>
        <w:spacing w:after="0"/>
        <w:rPr>
          <w:rFonts w:eastAsia="SimSun"/>
          <w:i/>
          <w:lang w:eastAsia="zh-CN"/>
        </w:rPr>
      </w:pPr>
      <w:r>
        <w:rPr>
          <w:rFonts w:eastAsia="SimSun"/>
        </w:rPr>
        <w:br w:type="page"/>
      </w:r>
    </w:p>
    <w:p>
      <w:pPr>
        <w:pStyle w:val="2"/>
        <w:rPr>
          <w:rFonts w:hint="eastAsia" w:eastAsia="Times New Roman"/>
          <w:lang w:eastAsia="zh-CN"/>
        </w:rPr>
      </w:pPr>
      <w:bookmarkStart w:id="909" w:name="_Toc18103"/>
      <w:bookmarkStart w:id="910" w:name="_Toc24430"/>
      <w:bookmarkStart w:id="911" w:name="_Toc8494"/>
      <w:bookmarkStart w:id="912" w:name="_Toc29642"/>
      <w:bookmarkStart w:id="913" w:name="historyclause"/>
      <w:bookmarkStart w:id="914" w:name="_Toc117668905"/>
      <w:bookmarkStart w:id="915" w:name="_Toc25971"/>
      <w:r>
        <w:rPr>
          <w:rFonts w:hint="eastAsia" w:eastAsia="Times New Roman"/>
          <w:lang w:eastAsia="zh-CN"/>
        </w:rPr>
        <w:t xml:space="preserve">Annex </w:t>
      </w:r>
      <w:r>
        <w:rPr>
          <w:rFonts w:hint="eastAsia" w:eastAsia="Times New Roman"/>
          <w:lang w:val="en-US" w:eastAsia="zh-CN"/>
        </w:rPr>
        <w:t>E</w:t>
      </w:r>
      <w:r>
        <w:rPr>
          <w:rFonts w:hint="eastAsia" w:eastAsia="Times New Roman"/>
          <w:lang w:eastAsia="zh-CN"/>
        </w:rPr>
        <w:t>: Change history</w:t>
      </w:r>
      <w:bookmarkEnd w:id="909"/>
      <w:bookmarkEnd w:id="910"/>
      <w:bookmarkEnd w:id="911"/>
      <w:bookmarkEnd w:id="912"/>
      <w:bookmarkEnd w:id="913"/>
      <w:bookmarkEnd w:id="914"/>
      <w:bookmarkEnd w:id="915"/>
    </w:p>
    <w:tbl>
      <w:tblPr>
        <w:tblStyle w:val="49"/>
        <w:tblW w:w="9923"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85"/>
        <w:gridCol w:w="1134"/>
        <w:gridCol w:w="375"/>
        <w:gridCol w:w="428"/>
        <w:gridCol w:w="4583"/>
        <w:gridCol w:w="709"/>
        <w:gridCol w:w="70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23" w:type="dxa"/>
            <w:gridSpan w:val="8"/>
            <w:tcBorders>
              <w:bottom w:val="nil"/>
            </w:tcBorders>
            <w:shd w:val="solid" w:color="FFFFFF" w:fill="auto"/>
          </w:tcPr>
          <w:p>
            <w:pPr>
              <w:keepNext/>
              <w:keepLines/>
              <w:spacing w:after="0"/>
              <w:jc w:val="center"/>
              <w:rPr>
                <w:rFonts w:ascii="Arial" w:hAnsi="Arial" w:eastAsia="SimSun"/>
                <w:b/>
                <w:sz w:val="16"/>
              </w:rPr>
            </w:pPr>
            <w:r>
              <w:rPr>
                <w:rFonts w:ascii="Arial" w:hAnsi="Arial" w:eastAsia="SimSun"/>
                <w:b/>
                <w:sz w:val="18"/>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keepNext/>
              <w:keepLines/>
              <w:spacing w:after="0"/>
              <w:rPr>
                <w:rFonts w:ascii="Arial" w:hAnsi="Arial" w:eastAsia="SimSun"/>
                <w:b/>
                <w:sz w:val="16"/>
              </w:rPr>
            </w:pPr>
            <w:r>
              <w:rPr>
                <w:rFonts w:ascii="Arial" w:hAnsi="Arial" w:eastAsia="SimSun"/>
                <w:b/>
                <w:sz w:val="16"/>
              </w:rPr>
              <w:t>Date</w:t>
            </w:r>
          </w:p>
        </w:tc>
        <w:tc>
          <w:tcPr>
            <w:tcW w:w="1185" w:type="dxa"/>
            <w:shd w:val="pct10" w:color="auto" w:fill="FFFFFF"/>
          </w:tcPr>
          <w:p>
            <w:pPr>
              <w:keepNext/>
              <w:keepLines/>
              <w:spacing w:after="0"/>
              <w:rPr>
                <w:rFonts w:ascii="Arial" w:hAnsi="Arial" w:eastAsia="SimSun"/>
                <w:b/>
                <w:sz w:val="16"/>
              </w:rPr>
            </w:pPr>
            <w:r>
              <w:rPr>
                <w:rFonts w:ascii="Arial" w:hAnsi="Arial" w:eastAsia="SimSun"/>
                <w:b/>
                <w:sz w:val="16"/>
              </w:rPr>
              <w:t>TSG #</w:t>
            </w:r>
          </w:p>
        </w:tc>
        <w:tc>
          <w:tcPr>
            <w:tcW w:w="1134" w:type="dxa"/>
            <w:shd w:val="pct10" w:color="auto" w:fill="FFFFFF"/>
          </w:tcPr>
          <w:p>
            <w:pPr>
              <w:keepNext/>
              <w:keepLines/>
              <w:spacing w:after="0"/>
              <w:rPr>
                <w:rFonts w:ascii="Arial" w:hAnsi="Arial" w:eastAsia="SimSun"/>
                <w:b/>
                <w:sz w:val="16"/>
              </w:rPr>
            </w:pPr>
            <w:r>
              <w:rPr>
                <w:rFonts w:ascii="Arial" w:hAnsi="Arial" w:eastAsia="SimSun"/>
                <w:b/>
                <w:sz w:val="16"/>
              </w:rPr>
              <w:t>TSG Doc.</w:t>
            </w:r>
          </w:p>
        </w:tc>
        <w:tc>
          <w:tcPr>
            <w:tcW w:w="375" w:type="dxa"/>
            <w:shd w:val="pct10" w:color="auto" w:fill="FFFFFF"/>
          </w:tcPr>
          <w:p>
            <w:pPr>
              <w:keepNext/>
              <w:keepLines/>
              <w:spacing w:after="0"/>
              <w:rPr>
                <w:rFonts w:ascii="Arial" w:hAnsi="Arial" w:eastAsia="SimSun"/>
                <w:b/>
                <w:sz w:val="16"/>
              </w:rPr>
            </w:pPr>
            <w:r>
              <w:rPr>
                <w:rFonts w:ascii="Arial" w:hAnsi="Arial" w:eastAsia="SimSun"/>
                <w:b/>
                <w:sz w:val="16"/>
              </w:rPr>
              <w:t>CR</w:t>
            </w:r>
          </w:p>
        </w:tc>
        <w:tc>
          <w:tcPr>
            <w:tcW w:w="428" w:type="dxa"/>
            <w:shd w:val="pct10" w:color="auto" w:fill="FFFFFF"/>
          </w:tcPr>
          <w:p>
            <w:pPr>
              <w:keepNext/>
              <w:keepLines/>
              <w:spacing w:after="0"/>
              <w:rPr>
                <w:rFonts w:ascii="Arial" w:hAnsi="Arial" w:eastAsia="SimSun"/>
                <w:b/>
                <w:sz w:val="16"/>
              </w:rPr>
            </w:pPr>
            <w:r>
              <w:rPr>
                <w:rFonts w:ascii="Arial" w:hAnsi="Arial" w:eastAsia="SimSun"/>
                <w:b/>
                <w:sz w:val="16"/>
              </w:rPr>
              <w:t>Rev</w:t>
            </w:r>
          </w:p>
        </w:tc>
        <w:tc>
          <w:tcPr>
            <w:tcW w:w="4583" w:type="dxa"/>
            <w:shd w:val="pct10" w:color="auto" w:fill="FFFFFF"/>
          </w:tcPr>
          <w:p>
            <w:pPr>
              <w:keepNext/>
              <w:keepLines/>
              <w:spacing w:after="0"/>
              <w:rPr>
                <w:rFonts w:ascii="Arial" w:hAnsi="Arial" w:eastAsia="SimSun"/>
                <w:b/>
                <w:sz w:val="16"/>
              </w:rPr>
            </w:pPr>
            <w:r>
              <w:rPr>
                <w:rFonts w:ascii="Arial" w:hAnsi="Arial" w:eastAsia="SimSun"/>
                <w:b/>
                <w:sz w:val="16"/>
              </w:rPr>
              <w:t>Subject/Comment</w:t>
            </w:r>
          </w:p>
        </w:tc>
        <w:tc>
          <w:tcPr>
            <w:tcW w:w="709" w:type="dxa"/>
            <w:shd w:val="pct10" w:color="auto" w:fill="FFFFFF"/>
          </w:tcPr>
          <w:p>
            <w:pPr>
              <w:keepNext/>
              <w:keepLines/>
              <w:spacing w:after="0"/>
              <w:rPr>
                <w:rFonts w:ascii="Arial" w:hAnsi="Arial" w:eastAsia="SimSun"/>
                <w:b/>
                <w:sz w:val="16"/>
              </w:rPr>
            </w:pPr>
            <w:r>
              <w:rPr>
                <w:rFonts w:ascii="Arial" w:hAnsi="Arial" w:eastAsia="SimSun"/>
                <w:b/>
                <w:sz w:val="16"/>
              </w:rPr>
              <w:t>Old</w:t>
            </w:r>
          </w:p>
        </w:tc>
        <w:tc>
          <w:tcPr>
            <w:tcW w:w="709" w:type="dxa"/>
            <w:shd w:val="pct10" w:color="auto" w:fill="FFFFFF"/>
          </w:tcPr>
          <w:p>
            <w:pPr>
              <w:keepNext/>
              <w:keepLines/>
              <w:spacing w:after="0"/>
              <w:rPr>
                <w:rFonts w:ascii="Arial" w:hAnsi="Arial" w:eastAsia="SimSun"/>
                <w:b/>
                <w:sz w:val="16"/>
              </w:rPr>
            </w:pPr>
            <w:r>
              <w:rPr>
                <w:rFonts w:ascii="Arial" w:hAnsi="Arial" w:eastAsia="SimSun"/>
                <w:b/>
                <w:sz w:val="16"/>
              </w:rPr>
              <w:t>New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SimSun"/>
                <w:snapToGrid w:val="0"/>
                <w:sz w:val="18"/>
                <w:szCs w:val="18"/>
                <w:lang w:val="en-AU" w:eastAsia="zh-CN"/>
              </w:rPr>
            </w:pPr>
            <w:r>
              <w:rPr>
                <w:rFonts w:ascii="Arial" w:hAnsi="Arial" w:eastAsia="SimSun"/>
                <w:sz w:val="18"/>
                <w:szCs w:val="18"/>
              </w:rPr>
              <w:t>0</w:t>
            </w:r>
            <w:r>
              <w:rPr>
                <w:rFonts w:hint="eastAsia" w:ascii="Arial" w:hAnsi="Arial" w:eastAsia="SimSun"/>
                <w:sz w:val="18"/>
                <w:szCs w:val="18"/>
                <w:lang w:eastAsia="zh-CN"/>
              </w:rPr>
              <w:t>8</w:t>
            </w:r>
            <w:r>
              <w:rPr>
                <w:rFonts w:ascii="Arial" w:hAnsi="Arial" w:eastAsia="SimSun"/>
                <w:sz w:val="18"/>
                <w:szCs w:val="18"/>
              </w:rPr>
              <w:t>/20</w:t>
            </w:r>
            <w:r>
              <w:rPr>
                <w:rFonts w:hint="eastAsia" w:ascii="Arial" w:hAnsi="Arial" w:eastAsia="SimSun"/>
                <w:sz w:val="18"/>
                <w:szCs w:val="18"/>
                <w:lang w:eastAsia="zh-CN"/>
              </w:rPr>
              <w:t>22</w:t>
            </w:r>
          </w:p>
        </w:tc>
        <w:tc>
          <w:tcPr>
            <w:tcW w:w="1185" w:type="dxa"/>
            <w:shd w:val="solid" w:color="FFFFFF" w:fill="auto"/>
          </w:tcPr>
          <w:p>
            <w:pPr>
              <w:keepNext/>
              <w:keepLines/>
              <w:spacing w:after="0"/>
              <w:rPr>
                <w:rFonts w:ascii="Arial" w:hAnsi="Arial" w:eastAsia="SimSun"/>
                <w:snapToGrid w:val="0"/>
                <w:sz w:val="18"/>
                <w:lang w:val="en-AU" w:eastAsia="zh-CN"/>
              </w:rPr>
            </w:pPr>
            <w:r>
              <w:rPr>
                <w:rFonts w:ascii="Arial" w:hAnsi="Arial" w:eastAsia="SimSun"/>
                <w:snapToGrid w:val="0"/>
                <w:sz w:val="18"/>
                <w:lang w:val="en-AU" w:eastAsia="zh-CN"/>
              </w:rPr>
              <w:t>RAN4#</w:t>
            </w:r>
            <w:r>
              <w:rPr>
                <w:rFonts w:hint="eastAsia" w:ascii="Arial" w:hAnsi="Arial" w:eastAsia="SimSun"/>
                <w:snapToGrid w:val="0"/>
                <w:sz w:val="18"/>
                <w:lang w:val="en-AU" w:eastAsia="zh-CN"/>
              </w:rPr>
              <w:t>104-e</w:t>
            </w:r>
          </w:p>
        </w:tc>
        <w:tc>
          <w:tcPr>
            <w:tcW w:w="1134" w:type="dxa"/>
            <w:shd w:val="solid" w:color="FFFFFF" w:fill="auto"/>
          </w:tcPr>
          <w:p>
            <w:pPr>
              <w:keepNext/>
              <w:keepLines/>
              <w:spacing w:after="0"/>
              <w:rPr>
                <w:rFonts w:ascii="Arial" w:hAnsi="Arial" w:eastAsia="SimSun"/>
                <w:b/>
                <w:snapToGrid w:val="0"/>
                <w:sz w:val="18"/>
                <w:lang w:val="en-AU" w:eastAsia="zh-CN"/>
              </w:rPr>
            </w:pPr>
            <w:r>
              <w:rPr>
                <w:rFonts w:ascii="Arial" w:hAnsi="Arial" w:eastAsia="SimSun"/>
                <w:snapToGrid w:val="0"/>
                <w:sz w:val="18"/>
                <w:lang w:val="en-AU" w:eastAsia="zh-CN"/>
              </w:rPr>
              <w:t>R4-2214912</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 xml:space="preserve">TR skeleton </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N/A</w:t>
            </w:r>
          </w:p>
        </w:tc>
        <w:tc>
          <w:tcPr>
            <w:tcW w:w="709"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SimSun"/>
                <w:sz w:val="18"/>
                <w:szCs w:val="18"/>
                <w:lang w:eastAsia="zh-CN"/>
              </w:rPr>
            </w:pPr>
            <w:r>
              <w:rPr>
                <w:rFonts w:hint="eastAsia" w:ascii="Arial" w:hAnsi="Arial" w:eastAsia="SimSun"/>
                <w:sz w:val="18"/>
                <w:szCs w:val="18"/>
                <w:lang w:eastAsia="zh-CN"/>
              </w:rPr>
              <w:t>11</w:t>
            </w:r>
            <w:r>
              <w:rPr>
                <w:rFonts w:ascii="Arial" w:hAnsi="Arial" w:eastAsia="SimSun"/>
                <w:sz w:val="18"/>
                <w:szCs w:val="18"/>
              </w:rPr>
              <w:t>/20</w:t>
            </w:r>
            <w:r>
              <w:rPr>
                <w:rFonts w:hint="eastAsia" w:ascii="Arial" w:hAnsi="Arial" w:eastAsia="SimSun"/>
                <w:sz w:val="18"/>
                <w:szCs w:val="18"/>
                <w:lang w:eastAsia="zh-CN"/>
              </w:rPr>
              <w:t>22</w:t>
            </w:r>
          </w:p>
        </w:tc>
        <w:tc>
          <w:tcPr>
            <w:tcW w:w="1185"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eastAsia="zh-CN"/>
              </w:rPr>
              <w:t>RAN4#</w:t>
            </w:r>
            <w:r>
              <w:rPr>
                <w:rFonts w:hint="eastAsia" w:ascii="Arial" w:hAnsi="Arial" w:eastAsia="SimSun"/>
                <w:snapToGrid w:val="0"/>
                <w:sz w:val="18"/>
                <w:lang w:val="en-AU" w:eastAsia="zh-CN"/>
              </w:rPr>
              <w:t>105</w:t>
            </w:r>
          </w:p>
        </w:tc>
        <w:tc>
          <w:tcPr>
            <w:tcW w:w="1134" w:type="dxa"/>
            <w:shd w:val="solid" w:color="FFFFFF" w:fill="auto"/>
          </w:tcPr>
          <w:p>
            <w:pPr>
              <w:keepNext/>
              <w:keepLines/>
              <w:spacing w:after="0"/>
              <w:rPr>
                <w:rFonts w:ascii="Arial" w:hAnsi="Arial" w:eastAsia="SimSun"/>
                <w:sz w:val="18"/>
                <w:lang w:val="en-US" w:eastAsia="zh-CN"/>
              </w:rPr>
            </w:pPr>
            <w:r>
              <w:rPr>
                <w:rFonts w:ascii="Arial" w:hAnsi="Arial" w:eastAsia="SimSun"/>
                <w:sz w:val="18"/>
                <w:lang w:val="en-US"/>
              </w:rPr>
              <w:t>R4-2218030</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AU" w:eastAsia="zh-CN"/>
              </w:rPr>
            </w:pPr>
            <w:r>
              <w:rPr>
                <w:rFonts w:ascii="Arial" w:hAnsi="Arial" w:eastAsia="SimSun"/>
                <w:snapToGrid w:val="0"/>
                <w:sz w:val="18"/>
                <w:lang w:val="en-AU"/>
              </w:rPr>
              <w:t>R4-2215335 TP for ATG TR 38.876 skeleton</w:t>
            </w:r>
          </w:p>
          <w:p>
            <w:pPr>
              <w:keepNext/>
              <w:keepLines/>
              <w:spacing w:after="0"/>
              <w:rPr>
                <w:rFonts w:ascii="Arial" w:hAnsi="Arial" w:eastAsia="SimSun"/>
                <w:snapToGrid w:val="0"/>
                <w:sz w:val="18"/>
                <w:lang w:val="en-AU" w:eastAsia="zh-CN"/>
              </w:rPr>
            </w:pPr>
            <w:r>
              <w:rPr>
                <w:rFonts w:ascii="Arial" w:hAnsi="Arial" w:eastAsia="SimSun"/>
                <w:snapToGrid w:val="0"/>
                <w:sz w:val="18"/>
                <w:lang w:val="en-AU"/>
              </w:rPr>
              <w:t>R4-2217504</w:t>
            </w:r>
            <w:r>
              <w:rPr>
                <w:rFonts w:hint="eastAsia" w:ascii="Arial" w:hAnsi="Arial" w:eastAsia="SimSun"/>
                <w:snapToGrid w:val="0"/>
                <w:sz w:val="18"/>
                <w:lang w:val="en-AU"/>
              </w:rPr>
              <w:t xml:space="preserve"> </w:t>
            </w:r>
            <w:r>
              <w:rPr>
                <w:rFonts w:ascii="Arial" w:hAnsi="Arial" w:eastAsia="SimSun"/>
                <w:snapToGrid w:val="0"/>
                <w:sz w:val="18"/>
                <w:lang w:val="en-AU"/>
              </w:rPr>
              <w:t>TP for TR 38.876</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0.0.1</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SimSun"/>
                <w:sz w:val="18"/>
                <w:szCs w:val="18"/>
                <w:lang w:eastAsia="zh-CN"/>
              </w:rPr>
            </w:pPr>
            <w:r>
              <w:rPr>
                <w:rFonts w:hint="eastAsia" w:ascii="Arial" w:hAnsi="Arial" w:eastAsia="SimSun"/>
                <w:sz w:val="18"/>
                <w:szCs w:val="18"/>
                <w:lang w:eastAsia="zh-CN"/>
              </w:rPr>
              <w:t>0</w:t>
            </w:r>
            <w:r>
              <w:rPr>
                <w:rFonts w:ascii="Arial" w:hAnsi="Arial" w:eastAsia="SimSun"/>
                <w:sz w:val="18"/>
                <w:szCs w:val="18"/>
                <w:lang w:eastAsia="zh-CN"/>
              </w:rPr>
              <w:t>2/2023</w:t>
            </w:r>
          </w:p>
        </w:tc>
        <w:tc>
          <w:tcPr>
            <w:tcW w:w="1185" w:type="dxa"/>
            <w:shd w:val="solid" w:color="FFFFFF" w:fill="auto"/>
          </w:tcPr>
          <w:p>
            <w:pPr>
              <w:keepNext/>
              <w:keepLines/>
              <w:spacing w:after="0"/>
              <w:rPr>
                <w:rFonts w:ascii="Arial" w:hAnsi="Arial" w:eastAsia="SimSun"/>
                <w:snapToGrid w:val="0"/>
                <w:sz w:val="18"/>
                <w:lang w:val="en-AU" w:eastAsia="zh-CN"/>
              </w:rPr>
            </w:pPr>
            <w:r>
              <w:rPr>
                <w:rFonts w:ascii="Arial" w:hAnsi="Arial" w:eastAsia="SimSun"/>
                <w:snapToGrid w:val="0"/>
                <w:sz w:val="18"/>
                <w:lang w:val="en-AU" w:eastAsia="zh-CN"/>
              </w:rPr>
              <w:t>RAN4#106</w:t>
            </w:r>
          </w:p>
        </w:tc>
        <w:tc>
          <w:tcPr>
            <w:tcW w:w="1134" w:type="dxa"/>
            <w:shd w:val="solid" w:color="FFFFFF" w:fill="auto"/>
          </w:tcPr>
          <w:p>
            <w:pPr>
              <w:keepNext/>
              <w:keepLines/>
              <w:spacing w:after="0"/>
              <w:rPr>
                <w:rFonts w:ascii="Arial" w:hAnsi="Arial" w:eastAsia="SimSun"/>
                <w:sz w:val="18"/>
                <w:lang w:val="en-US" w:eastAsia="zh-CN"/>
              </w:rPr>
            </w:pPr>
            <w:r>
              <w:rPr>
                <w:rFonts w:hint="eastAsia" w:ascii="Arial" w:hAnsi="Arial" w:eastAsia="SimSun"/>
                <w:sz w:val="18"/>
                <w:lang w:val="en-US" w:eastAsia="zh-CN"/>
              </w:rPr>
              <w:t>R</w:t>
            </w:r>
            <w:r>
              <w:rPr>
                <w:rFonts w:ascii="Arial" w:hAnsi="Arial" w:eastAsia="SimSun"/>
                <w:sz w:val="18"/>
                <w:lang w:val="en-US" w:eastAsia="zh-CN"/>
              </w:rPr>
              <w:t>4-2301861</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R4-2220826 TP for TR 38.876: frequency error</w:t>
            </w:r>
          </w:p>
          <w:p>
            <w:pPr>
              <w:keepNext/>
              <w:keepLines/>
              <w:spacing w:after="0"/>
              <w:rPr>
                <w:rFonts w:ascii="Arial" w:hAnsi="Arial" w:eastAsia="SimSun"/>
                <w:snapToGrid w:val="0"/>
                <w:sz w:val="18"/>
                <w:lang w:val="en-AU"/>
              </w:rPr>
            </w:pPr>
            <w:r>
              <w:rPr>
                <w:rFonts w:ascii="Arial" w:hAnsi="Arial" w:eastAsia="SimSun"/>
                <w:snapToGrid w:val="0"/>
                <w:sz w:val="18"/>
                <w:lang w:val="en-AU"/>
              </w:rPr>
              <w:t>R4-2220539 TP for TR 38.876 to capture general assumptions</w:t>
            </w:r>
          </w:p>
          <w:p>
            <w:pPr>
              <w:keepNext/>
              <w:keepLines/>
              <w:spacing w:after="0"/>
              <w:rPr>
                <w:rFonts w:ascii="Arial" w:hAnsi="Arial" w:eastAsia="SimSun"/>
                <w:snapToGrid w:val="0"/>
                <w:sz w:val="18"/>
                <w:lang w:val="en-AU"/>
              </w:rPr>
            </w:pPr>
            <w:r>
              <w:rPr>
                <w:rFonts w:ascii="Arial" w:hAnsi="Arial" w:eastAsia="SimSun"/>
                <w:snapToGrid w:val="0"/>
                <w:sz w:val="18"/>
                <w:lang w:val="en-AU"/>
              </w:rPr>
              <w:t>R4-2220540 TP for TR 38.876 to capture scenarios and network layout</w:t>
            </w:r>
          </w:p>
          <w:p>
            <w:pPr>
              <w:keepNext/>
              <w:keepLines/>
              <w:spacing w:after="0"/>
              <w:rPr>
                <w:rFonts w:ascii="Arial" w:hAnsi="Arial" w:eastAsia="SimSun"/>
                <w:snapToGrid w:val="0"/>
                <w:sz w:val="18"/>
                <w:lang w:val="en-AU"/>
              </w:rPr>
            </w:pPr>
            <w:r>
              <w:rPr>
                <w:rFonts w:ascii="Arial" w:hAnsi="Arial" w:eastAsia="SimSun"/>
                <w:snapToGrid w:val="0"/>
                <w:sz w:val="18"/>
                <w:lang w:val="en-AU"/>
              </w:rPr>
              <w:t>R4-2220541 TP for TR 38.876 to capture system parameter assumption and antenna modelling</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w:t>
            </w:r>
            <w:r>
              <w:rPr>
                <w:rFonts w:ascii="Arial" w:hAnsi="Arial" w:eastAsia="SimSun"/>
                <w:snapToGrid w:val="0"/>
                <w:sz w:val="18"/>
                <w:lang w:val="en-AU" w:eastAsia="zh-CN"/>
              </w:rPr>
              <w:t>.1.0</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w:t>
            </w:r>
            <w:r>
              <w:rPr>
                <w:rFonts w:ascii="Arial" w:hAnsi="Arial" w:eastAsia="SimSun"/>
                <w:snapToGrid w:val="0"/>
                <w:sz w:val="18"/>
                <w:lang w:val="en-AU" w:eastAsia="zh-CN"/>
              </w:rPr>
              <w:t>.2.0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SimSun"/>
                <w:sz w:val="18"/>
                <w:szCs w:val="18"/>
                <w:lang w:eastAsia="zh-CN"/>
              </w:rPr>
            </w:pPr>
            <w:r>
              <w:rPr>
                <w:rFonts w:hint="eastAsia" w:ascii="Arial" w:hAnsi="Arial" w:eastAsia="SimSun"/>
                <w:sz w:val="18"/>
                <w:szCs w:val="18"/>
                <w:lang w:eastAsia="zh-CN"/>
              </w:rPr>
              <w:t>0</w:t>
            </w:r>
            <w:r>
              <w:rPr>
                <w:rFonts w:ascii="Arial" w:hAnsi="Arial" w:eastAsia="SimSun"/>
                <w:sz w:val="18"/>
                <w:szCs w:val="18"/>
                <w:lang w:eastAsia="zh-CN"/>
              </w:rPr>
              <w:t>4/2023</w:t>
            </w:r>
          </w:p>
        </w:tc>
        <w:tc>
          <w:tcPr>
            <w:tcW w:w="1185"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R</w:t>
            </w:r>
            <w:r>
              <w:rPr>
                <w:rFonts w:ascii="Arial" w:hAnsi="Arial" w:eastAsia="SimSun"/>
                <w:snapToGrid w:val="0"/>
                <w:sz w:val="18"/>
                <w:lang w:val="en-AU" w:eastAsia="zh-CN"/>
              </w:rPr>
              <w:t>AN4#106bis</w:t>
            </w:r>
          </w:p>
        </w:tc>
        <w:tc>
          <w:tcPr>
            <w:tcW w:w="1134" w:type="dxa"/>
            <w:shd w:val="solid" w:color="FFFFFF" w:fill="auto"/>
          </w:tcPr>
          <w:p>
            <w:pPr>
              <w:keepNext/>
              <w:keepLines/>
              <w:spacing w:after="0"/>
              <w:rPr>
                <w:rFonts w:ascii="Arial" w:hAnsi="Arial" w:eastAsia="SimSun"/>
                <w:sz w:val="18"/>
                <w:lang w:val="en-US"/>
              </w:rPr>
            </w:pPr>
            <w:r>
              <w:rPr>
                <w:rFonts w:hint="eastAsia" w:ascii="Arial" w:hAnsi="Arial" w:eastAsia="SimSun"/>
                <w:sz w:val="18"/>
                <w:lang w:val="en-US" w:eastAsia="zh-CN"/>
              </w:rPr>
              <w:t>R</w:t>
            </w:r>
            <w:r>
              <w:rPr>
                <w:rFonts w:ascii="Arial" w:hAnsi="Arial" w:eastAsia="SimSun"/>
                <w:sz w:val="18"/>
                <w:lang w:val="en-US" w:eastAsia="zh-CN"/>
              </w:rPr>
              <w:t>4-2303640</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R4-2302096 TP for TR 38.876 to add some coexistence assumption and methodology</w:t>
            </w:r>
          </w:p>
          <w:p>
            <w:pPr>
              <w:keepNext/>
              <w:keepLines/>
              <w:spacing w:after="0"/>
              <w:rPr>
                <w:rFonts w:ascii="Arial" w:hAnsi="Arial" w:eastAsia="SimSun"/>
                <w:snapToGrid w:val="0"/>
                <w:sz w:val="18"/>
                <w:lang w:val="en-AU"/>
              </w:rPr>
            </w:pPr>
            <w:r>
              <w:rPr>
                <w:rFonts w:ascii="Arial" w:hAnsi="Arial" w:eastAsia="SimSun"/>
                <w:snapToGrid w:val="0"/>
                <w:sz w:val="18"/>
                <w:lang w:val="en-AU"/>
              </w:rPr>
              <w:t>R4-2303641 TP for TR 38.876 to capture system parameter assumption</w:t>
            </w:r>
          </w:p>
          <w:p>
            <w:pPr>
              <w:keepNext/>
              <w:keepLines/>
              <w:spacing w:after="0"/>
              <w:rPr>
                <w:rFonts w:ascii="Arial" w:hAnsi="Arial" w:eastAsia="SimSun"/>
                <w:snapToGrid w:val="0"/>
                <w:sz w:val="18"/>
                <w:lang w:val="en-AU"/>
              </w:rPr>
            </w:pPr>
            <w:r>
              <w:rPr>
                <w:rFonts w:ascii="Arial" w:hAnsi="Arial" w:eastAsia="SimSun"/>
                <w:snapToGrid w:val="0"/>
                <w:sz w:val="18"/>
                <w:lang w:val="en-AU"/>
              </w:rPr>
              <w:t>R4-2303642 TP to TR 38.876: Update of simulation assumptions</w:t>
            </w:r>
          </w:p>
          <w:p>
            <w:pPr>
              <w:keepNext/>
              <w:keepLines/>
              <w:spacing w:after="0"/>
              <w:rPr>
                <w:rFonts w:ascii="Arial" w:hAnsi="Arial" w:eastAsia="SimSun"/>
                <w:snapToGrid w:val="0"/>
                <w:sz w:val="18"/>
                <w:lang w:val="en-AU"/>
              </w:rPr>
            </w:pPr>
            <w:r>
              <w:rPr>
                <w:rFonts w:ascii="Arial" w:hAnsi="Arial" w:eastAsia="SimSun"/>
                <w:snapToGrid w:val="0"/>
                <w:sz w:val="18"/>
                <w:lang w:val="en-AU"/>
              </w:rPr>
              <w:t>R4-2303643 TP for TR 38.876 to introduce ATG UE Tx requirements</w:t>
            </w:r>
          </w:p>
          <w:p>
            <w:pPr>
              <w:keepNext/>
              <w:keepLines/>
              <w:spacing w:after="0"/>
              <w:rPr>
                <w:rFonts w:ascii="Arial" w:hAnsi="Arial" w:eastAsia="SimSun"/>
                <w:snapToGrid w:val="0"/>
                <w:sz w:val="18"/>
                <w:lang w:val="en-AU"/>
              </w:rPr>
            </w:pPr>
            <w:r>
              <w:rPr>
                <w:rFonts w:ascii="Arial" w:hAnsi="Arial" w:eastAsia="SimSun"/>
                <w:snapToGrid w:val="0"/>
                <w:sz w:val="18"/>
                <w:lang w:val="en-AU"/>
              </w:rPr>
              <w:t>R4-2303644 TP for TR 38.876 to introduce technical analysis for ATG UE Rx requirements.</w:t>
            </w:r>
          </w:p>
          <w:p>
            <w:pPr>
              <w:keepNext/>
              <w:keepLines/>
              <w:spacing w:after="0"/>
              <w:rPr>
                <w:rFonts w:ascii="Arial" w:hAnsi="Arial" w:eastAsia="SimSun"/>
                <w:snapToGrid w:val="0"/>
                <w:sz w:val="18"/>
                <w:lang w:val="en-AU"/>
              </w:rPr>
            </w:pPr>
            <w:r>
              <w:rPr>
                <w:rFonts w:ascii="Arial" w:hAnsi="Arial" w:eastAsia="SimSun"/>
                <w:snapToGrid w:val="0"/>
                <w:sz w:val="18"/>
                <w:lang w:val="en-AU"/>
              </w:rPr>
              <w:t>R4-2303227 TP to TR 38.876: RRM requirements for ATG network</w:t>
            </w:r>
          </w:p>
          <w:p>
            <w:pPr>
              <w:keepNext/>
              <w:keepLines/>
              <w:spacing w:after="0"/>
              <w:rPr>
                <w:rFonts w:ascii="Arial" w:hAnsi="Arial" w:eastAsia="SimSun"/>
                <w:snapToGrid w:val="0"/>
                <w:sz w:val="18"/>
                <w:lang w:val="en-AU"/>
              </w:rPr>
            </w:pPr>
            <w:r>
              <w:rPr>
                <w:rFonts w:ascii="Arial" w:hAnsi="Arial" w:eastAsia="SimSun"/>
                <w:snapToGrid w:val="0"/>
                <w:sz w:val="18"/>
                <w:lang w:val="en-AU"/>
              </w:rPr>
              <w:t>R4-2302905 TP for TR 38.876 on BS RF requirements</w:t>
            </w:r>
          </w:p>
        </w:tc>
        <w:tc>
          <w:tcPr>
            <w:tcW w:w="709" w:type="dxa"/>
            <w:shd w:val="solid" w:color="FFFFFF" w:fill="auto"/>
          </w:tcPr>
          <w:p>
            <w:pPr>
              <w:keepNext/>
              <w:keepLines/>
              <w:spacing w:after="0"/>
              <w:rPr>
                <w:rFonts w:ascii="Arial" w:hAnsi="Arial" w:eastAsia="SimSun"/>
                <w:snapToGrid w:val="0"/>
                <w:sz w:val="18"/>
                <w:lang w:val="en-AU" w:eastAsia="zh-CN"/>
              </w:rPr>
            </w:pPr>
            <w:r>
              <w:rPr>
                <w:rFonts w:ascii="Arial" w:hAnsi="Arial" w:eastAsia="SimSun"/>
                <w:snapToGrid w:val="0"/>
                <w:sz w:val="18"/>
                <w:lang w:val="en-AU" w:eastAsia="zh-CN"/>
              </w:rPr>
              <w:t>0.2.0</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w:t>
            </w:r>
            <w:r>
              <w:rPr>
                <w:rFonts w:ascii="Arial" w:hAnsi="Arial" w:eastAsia="SimSun"/>
                <w:snapToGrid w:val="0"/>
                <w:sz w:val="18"/>
                <w:lang w:val="en-AU"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SimSun"/>
                <w:sz w:val="18"/>
                <w:szCs w:val="18"/>
                <w:lang w:eastAsia="zh-CN"/>
              </w:rPr>
            </w:pPr>
            <w:r>
              <w:rPr>
                <w:rFonts w:hint="eastAsia" w:ascii="Arial" w:hAnsi="Arial" w:eastAsia="SimSun"/>
                <w:sz w:val="18"/>
                <w:szCs w:val="18"/>
                <w:lang w:eastAsia="zh-CN"/>
              </w:rPr>
              <w:t>0</w:t>
            </w:r>
            <w:r>
              <w:rPr>
                <w:rFonts w:ascii="Arial" w:hAnsi="Arial" w:eastAsia="SimSun"/>
                <w:sz w:val="18"/>
                <w:szCs w:val="18"/>
                <w:lang w:eastAsia="zh-CN"/>
              </w:rPr>
              <w:t>5/2023</w:t>
            </w:r>
          </w:p>
        </w:tc>
        <w:tc>
          <w:tcPr>
            <w:tcW w:w="1185"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RAN4#107</w:t>
            </w:r>
          </w:p>
        </w:tc>
        <w:tc>
          <w:tcPr>
            <w:tcW w:w="1134" w:type="dxa"/>
            <w:shd w:val="solid" w:color="FFFFFF" w:fill="auto"/>
          </w:tcPr>
          <w:p>
            <w:pPr>
              <w:keepNext/>
              <w:keepLines/>
              <w:spacing w:after="0"/>
              <w:rPr>
                <w:rFonts w:ascii="Arial" w:hAnsi="Arial" w:eastAsia="SimSun"/>
                <w:sz w:val="18"/>
                <w:lang w:val="en-US"/>
              </w:rPr>
            </w:pPr>
            <w:r>
              <w:rPr>
                <w:rFonts w:ascii="Arial" w:hAnsi="Arial" w:eastAsia="SimSun"/>
                <w:sz w:val="18"/>
                <w:lang w:val="en-US"/>
              </w:rPr>
              <w:t>R4-2309106</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AU"/>
              </w:rPr>
            </w:pPr>
            <w:r>
              <w:rPr>
                <w:rFonts w:ascii="Arial" w:hAnsi="Arial" w:eastAsia="SimSun"/>
                <w:snapToGrid w:val="0"/>
                <w:sz w:val="18"/>
                <w:lang w:val="en-AU"/>
              </w:rPr>
              <w:t>R4-2310402</w:t>
            </w:r>
            <w:r>
              <w:rPr>
                <w:rFonts w:ascii="Arial" w:hAnsi="Arial" w:eastAsia="SimSun"/>
                <w:snapToGrid w:val="0"/>
                <w:sz w:val="18"/>
                <w:lang w:val="en-AU"/>
              </w:rPr>
              <w:tab/>
            </w:r>
            <w:r>
              <w:rPr>
                <w:rFonts w:ascii="Arial" w:hAnsi="Arial" w:eastAsia="SimSun"/>
                <w:snapToGrid w:val="0"/>
                <w:sz w:val="18"/>
                <w:lang w:val="en-AU"/>
              </w:rPr>
              <w:t>TP for TR 38.876 to add Annex, CMCC</w:t>
            </w:r>
          </w:p>
          <w:p>
            <w:pPr>
              <w:keepNext/>
              <w:keepLines/>
              <w:spacing w:after="0"/>
              <w:rPr>
                <w:rFonts w:ascii="Arial" w:hAnsi="Arial" w:eastAsia="SimSun"/>
                <w:snapToGrid w:val="0"/>
                <w:sz w:val="18"/>
                <w:lang w:val="en-AU"/>
              </w:rPr>
            </w:pPr>
            <w:r>
              <w:rPr>
                <w:rFonts w:ascii="Arial" w:hAnsi="Arial" w:eastAsia="SimSun"/>
                <w:snapToGrid w:val="0"/>
                <w:sz w:val="18"/>
                <w:lang w:val="en-AU"/>
              </w:rPr>
              <w:t>R4-2310494</w:t>
            </w:r>
            <w:r>
              <w:rPr>
                <w:rFonts w:ascii="Arial" w:hAnsi="Arial" w:eastAsia="SimSun"/>
                <w:snapToGrid w:val="0"/>
                <w:sz w:val="18"/>
                <w:lang w:val="en-AU"/>
              </w:rPr>
              <w:tab/>
            </w:r>
            <w:r>
              <w:rPr>
                <w:rFonts w:ascii="Arial" w:hAnsi="Arial" w:eastAsia="SimSun"/>
                <w:snapToGrid w:val="0"/>
                <w:sz w:val="18"/>
                <w:lang w:val="en-AU"/>
              </w:rPr>
              <w:t>TP to TR 38.876: Skeleton for Co-existence simulation results, Ericsson</w:t>
            </w:r>
          </w:p>
          <w:p>
            <w:pPr>
              <w:keepNext/>
              <w:keepLines/>
              <w:spacing w:after="0"/>
              <w:rPr>
                <w:rFonts w:ascii="Arial" w:hAnsi="Arial" w:eastAsia="SimSun"/>
                <w:snapToGrid w:val="0"/>
                <w:sz w:val="18"/>
                <w:lang w:val="en-AU"/>
              </w:rPr>
            </w:pPr>
            <w:r>
              <w:rPr>
                <w:rFonts w:ascii="Arial" w:hAnsi="Arial" w:eastAsia="SimSun"/>
                <w:snapToGrid w:val="0"/>
                <w:sz w:val="18"/>
                <w:lang w:val="en-AU"/>
              </w:rPr>
              <w:t>R4-2310404</w:t>
            </w:r>
            <w:r>
              <w:rPr>
                <w:rFonts w:ascii="Arial" w:hAnsi="Arial" w:eastAsia="SimSun"/>
                <w:snapToGrid w:val="0"/>
                <w:sz w:val="18"/>
                <w:lang w:val="en-AU"/>
              </w:rPr>
              <w:tab/>
            </w:r>
            <w:r>
              <w:rPr>
                <w:rFonts w:ascii="Arial" w:hAnsi="Arial" w:eastAsia="SimSun"/>
                <w:snapToGrid w:val="0"/>
                <w:sz w:val="18"/>
                <w:lang w:val="en-AU"/>
              </w:rPr>
              <w:t>TP for TS 38.876: Clause 6.1~6.3, ZTE Corporation</w:t>
            </w:r>
          </w:p>
          <w:p>
            <w:pPr>
              <w:keepNext/>
              <w:keepLines/>
              <w:spacing w:after="0"/>
              <w:rPr>
                <w:rFonts w:ascii="Arial" w:hAnsi="Arial" w:eastAsia="SimSun"/>
                <w:snapToGrid w:val="0"/>
                <w:sz w:val="18"/>
                <w:lang w:val="en-AU"/>
              </w:rPr>
            </w:pPr>
            <w:r>
              <w:rPr>
                <w:rFonts w:ascii="Arial" w:hAnsi="Arial" w:eastAsia="SimSun"/>
                <w:snapToGrid w:val="0"/>
                <w:sz w:val="18"/>
                <w:lang w:val="en-AU"/>
              </w:rPr>
              <w:t>R4-2310405</w:t>
            </w:r>
            <w:r>
              <w:rPr>
                <w:rFonts w:ascii="Arial" w:hAnsi="Arial" w:eastAsia="SimSun"/>
                <w:snapToGrid w:val="0"/>
                <w:sz w:val="18"/>
                <w:lang w:val="en-AU"/>
              </w:rPr>
              <w:tab/>
            </w:r>
            <w:r>
              <w:rPr>
                <w:rFonts w:ascii="Arial" w:hAnsi="Arial" w:eastAsia="SimSun"/>
                <w:snapToGrid w:val="0"/>
                <w:sz w:val="18"/>
                <w:lang w:val="en-AU"/>
              </w:rPr>
              <w:t>TP for TR38.876:clause 7.1 and 7.1.1, ZTE Corporation</w:t>
            </w:r>
          </w:p>
          <w:p>
            <w:pPr>
              <w:keepNext/>
              <w:keepLines/>
              <w:spacing w:after="0"/>
              <w:rPr>
                <w:rFonts w:ascii="Arial" w:hAnsi="Arial" w:eastAsia="SimSun"/>
                <w:snapToGrid w:val="0"/>
                <w:sz w:val="18"/>
                <w:lang w:val="en-AU"/>
              </w:rPr>
            </w:pPr>
            <w:r>
              <w:rPr>
                <w:rFonts w:ascii="Arial" w:hAnsi="Arial" w:eastAsia="SimSun"/>
                <w:snapToGrid w:val="0"/>
                <w:sz w:val="18"/>
                <w:lang w:val="en-AU"/>
              </w:rPr>
              <w:t>R4-2310406</w:t>
            </w:r>
            <w:r>
              <w:rPr>
                <w:rFonts w:ascii="Arial" w:hAnsi="Arial" w:eastAsia="SimSun"/>
                <w:snapToGrid w:val="0"/>
                <w:sz w:val="18"/>
                <w:lang w:val="en-AU"/>
              </w:rPr>
              <w:tab/>
            </w:r>
            <w:r>
              <w:rPr>
                <w:rFonts w:ascii="Arial" w:hAnsi="Arial" w:eastAsia="SimSun"/>
                <w:snapToGrid w:val="0"/>
                <w:sz w:val="18"/>
                <w:lang w:val="en-AU"/>
              </w:rPr>
              <w:t>TP for TR 38.876 to introduce ATG UE Tx requirements part 1, Huawei, HiSilicon</w:t>
            </w:r>
          </w:p>
          <w:p>
            <w:pPr>
              <w:keepNext/>
              <w:keepLines/>
              <w:spacing w:after="0"/>
              <w:rPr>
                <w:rFonts w:ascii="Arial" w:hAnsi="Arial" w:eastAsia="SimSun"/>
                <w:snapToGrid w:val="0"/>
                <w:sz w:val="18"/>
                <w:lang w:val="en-AU"/>
              </w:rPr>
            </w:pPr>
            <w:r>
              <w:rPr>
                <w:rFonts w:ascii="Arial" w:hAnsi="Arial" w:eastAsia="SimSun"/>
                <w:snapToGrid w:val="0"/>
                <w:sz w:val="18"/>
                <w:lang w:val="en-AU"/>
              </w:rPr>
              <w:t>R4-2309169</w:t>
            </w:r>
            <w:r>
              <w:rPr>
                <w:rFonts w:ascii="Arial" w:hAnsi="Arial" w:eastAsia="SimSun"/>
                <w:snapToGrid w:val="0"/>
                <w:sz w:val="18"/>
                <w:lang w:val="en-AU"/>
              </w:rPr>
              <w:tab/>
            </w:r>
            <w:r>
              <w:rPr>
                <w:rFonts w:ascii="Arial" w:hAnsi="Arial" w:eastAsia="SimSun"/>
                <w:snapToGrid w:val="0"/>
                <w:sz w:val="18"/>
                <w:lang w:val="en-AU"/>
              </w:rPr>
              <w:t>TP for TR38.876 :clause 7.2.3.4~7.2.3.7,  ZTE Corporation</w:t>
            </w:r>
          </w:p>
          <w:p>
            <w:pPr>
              <w:keepNext/>
              <w:keepLines/>
              <w:spacing w:after="0"/>
              <w:rPr>
                <w:rFonts w:ascii="Arial" w:hAnsi="Arial" w:eastAsia="SimSun"/>
                <w:snapToGrid w:val="0"/>
                <w:sz w:val="18"/>
                <w:lang w:val="en-AU"/>
              </w:rPr>
            </w:pPr>
            <w:r>
              <w:rPr>
                <w:rFonts w:ascii="Arial" w:hAnsi="Arial" w:eastAsia="SimSun"/>
                <w:snapToGrid w:val="0"/>
                <w:sz w:val="18"/>
                <w:lang w:val="en-AU"/>
              </w:rPr>
              <w:t>R4-2309761</w:t>
            </w:r>
            <w:r>
              <w:rPr>
                <w:rFonts w:ascii="Arial" w:hAnsi="Arial" w:eastAsia="SimSun"/>
                <w:snapToGrid w:val="0"/>
                <w:sz w:val="18"/>
                <w:lang w:val="en-AU"/>
              </w:rPr>
              <w:tab/>
            </w:r>
            <w:r>
              <w:rPr>
                <w:rFonts w:ascii="Arial" w:hAnsi="Arial" w:eastAsia="SimSun"/>
                <w:snapToGrid w:val="0"/>
                <w:sz w:val="18"/>
                <w:lang w:val="en-AU"/>
              </w:rPr>
              <w:t>TP for TR 38.876 to introduce ATG BS Rx requirements, CMCC</w:t>
            </w:r>
          </w:p>
          <w:p>
            <w:pPr>
              <w:keepNext/>
              <w:keepLines/>
              <w:spacing w:after="0"/>
              <w:rPr>
                <w:rFonts w:ascii="Arial" w:hAnsi="Arial" w:eastAsia="SimSun"/>
                <w:snapToGrid w:val="0"/>
                <w:sz w:val="18"/>
                <w:lang w:val="en-AU"/>
              </w:rPr>
            </w:pPr>
            <w:r>
              <w:rPr>
                <w:rFonts w:ascii="Arial" w:hAnsi="Arial" w:eastAsia="SimSun"/>
                <w:snapToGrid w:val="0"/>
                <w:sz w:val="18"/>
                <w:lang w:val="en-AU"/>
              </w:rPr>
              <w:t>R4-2310056</w:t>
            </w:r>
            <w:r>
              <w:rPr>
                <w:rFonts w:ascii="Arial" w:hAnsi="Arial" w:eastAsia="SimSun"/>
                <w:snapToGrid w:val="0"/>
                <w:sz w:val="18"/>
                <w:lang w:val="en-AU"/>
              </w:rPr>
              <w:tab/>
            </w:r>
            <w:r>
              <w:rPr>
                <w:rFonts w:ascii="Arial" w:hAnsi="Arial" w:eastAsia="SimSun"/>
                <w:snapToGrid w:val="0"/>
                <w:sz w:val="18"/>
                <w:lang w:val="en-AU"/>
              </w:rPr>
              <w:t>TP to TR 38.876 RRM requirements for ATG network, CMCC</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w:t>
            </w:r>
            <w:r>
              <w:rPr>
                <w:rFonts w:ascii="Arial" w:hAnsi="Arial" w:eastAsia="SimSun"/>
                <w:snapToGrid w:val="0"/>
                <w:sz w:val="18"/>
                <w:lang w:val="en-AU" w:eastAsia="zh-CN"/>
              </w:rPr>
              <w:t>.3.0</w:t>
            </w:r>
          </w:p>
        </w:tc>
        <w:tc>
          <w:tcPr>
            <w:tcW w:w="709" w:type="dxa"/>
            <w:shd w:val="solid" w:color="FFFFFF" w:fill="auto"/>
          </w:tcPr>
          <w:p>
            <w:pPr>
              <w:keepNext/>
              <w:keepLines/>
              <w:spacing w:after="0"/>
              <w:rPr>
                <w:rFonts w:ascii="Arial" w:hAnsi="Arial" w:eastAsia="SimSun"/>
                <w:snapToGrid w:val="0"/>
                <w:sz w:val="18"/>
                <w:lang w:val="en-AU" w:eastAsia="zh-CN"/>
              </w:rPr>
            </w:pPr>
            <w:r>
              <w:rPr>
                <w:rFonts w:hint="eastAsia" w:ascii="Arial" w:hAnsi="Arial" w:eastAsia="SimSun"/>
                <w:snapToGrid w:val="0"/>
                <w:sz w:val="18"/>
                <w:lang w:val="en-AU" w:eastAsia="zh-CN"/>
              </w:rPr>
              <w:t>0</w:t>
            </w:r>
            <w:r>
              <w:rPr>
                <w:rFonts w:ascii="Arial" w:hAnsi="Arial" w:eastAsia="SimSun"/>
                <w:snapToGrid w:val="0"/>
                <w:sz w:val="18"/>
                <w:lang w:val="en-AU"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ascii="Arial" w:hAnsi="Arial" w:eastAsia="SimSun"/>
                <w:sz w:val="18"/>
                <w:szCs w:val="18"/>
                <w:lang w:val="en-US" w:eastAsia="zh-CN"/>
              </w:rPr>
            </w:pPr>
            <w:r>
              <w:rPr>
                <w:rFonts w:hint="eastAsia" w:ascii="Arial" w:hAnsi="Arial" w:eastAsia="SimSun"/>
                <w:sz w:val="18"/>
                <w:szCs w:val="18"/>
                <w:lang w:val="en-US" w:eastAsia="zh-CN"/>
              </w:rPr>
              <w:t>08/2023</w:t>
            </w:r>
          </w:p>
        </w:tc>
        <w:tc>
          <w:tcPr>
            <w:tcW w:w="1185" w:type="dxa"/>
            <w:shd w:val="solid" w:color="FFFFFF" w:fill="auto"/>
          </w:tcPr>
          <w:p>
            <w:pPr>
              <w:keepNext/>
              <w:keepLines/>
              <w:spacing w:after="0"/>
              <w:rPr>
                <w:rFonts w:ascii="Arial" w:hAnsi="Arial" w:eastAsia="SimSun"/>
                <w:snapToGrid w:val="0"/>
                <w:sz w:val="18"/>
                <w:lang w:val="en-US" w:eastAsia="zh-CN"/>
              </w:rPr>
            </w:pPr>
            <w:r>
              <w:rPr>
                <w:rFonts w:hint="eastAsia" w:ascii="Arial" w:hAnsi="Arial" w:eastAsia="SimSun"/>
                <w:snapToGrid w:val="0"/>
                <w:sz w:val="18"/>
                <w:lang w:val="en-US" w:eastAsia="zh-CN"/>
              </w:rPr>
              <w:t>RAN4#108</w:t>
            </w:r>
          </w:p>
        </w:tc>
        <w:tc>
          <w:tcPr>
            <w:tcW w:w="1134" w:type="dxa"/>
            <w:shd w:val="solid" w:color="FFFFFF" w:fill="auto"/>
          </w:tcPr>
          <w:p>
            <w:pPr>
              <w:keepNext/>
              <w:keepLines/>
              <w:spacing w:after="0"/>
              <w:rPr>
                <w:rFonts w:ascii="Arial" w:hAnsi="Arial" w:eastAsia="SimSun"/>
                <w:sz w:val="18"/>
                <w:lang w:val="en-US" w:eastAsia="zh-CN"/>
              </w:rPr>
            </w:pPr>
            <w:r>
              <w:rPr>
                <w:rFonts w:hint="eastAsia" w:ascii="Arial" w:hAnsi="Arial" w:eastAsia="SimSun"/>
                <w:sz w:val="18"/>
                <w:lang w:val="en-US" w:eastAsia="zh-CN"/>
              </w:rPr>
              <w:t>R4-2312291</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ascii="Arial" w:hAnsi="Arial" w:eastAsia="SimSun"/>
                <w:snapToGrid w:val="0"/>
                <w:sz w:val="18"/>
                <w:lang w:val="en-US" w:eastAsia="zh-CN"/>
              </w:rPr>
            </w:pPr>
            <w:r>
              <w:rPr>
                <w:rFonts w:ascii="Arial" w:hAnsi="Arial" w:eastAsia="SimSun"/>
                <w:snapToGrid w:val="0"/>
                <w:sz w:val="18"/>
                <w:lang w:val="en-AU"/>
              </w:rPr>
              <w:t>R4-2311266</w:t>
            </w:r>
            <w:r>
              <w:rPr>
                <w:rFonts w:hint="eastAsia" w:ascii="Arial" w:hAnsi="Arial" w:eastAsia="SimSun"/>
                <w:snapToGrid w:val="0"/>
                <w:sz w:val="18"/>
                <w:lang w:val="en-US" w:eastAsia="zh-CN"/>
              </w:rPr>
              <w:t>, TP to TR 38.876: Addition of Co-existence simulation results for Synchronized Scenarios, Ericsson</w:t>
            </w:r>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R4-2311458</w:t>
            </w:r>
            <w:r>
              <w:rPr>
                <w:rFonts w:hint="eastAsia" w:ascii="Arial" w:hAnsi="Arial" w:eastAsia="SimSun"/>
                <w:snapToGrid w:val="0"/>
                <w:sz w:val="18"/>
                <w:lang w:val="en-US" w:eastAsia="zh-CN"/>
              </w:rPr>
              <w:t xml:space="preserve">, TP for TR 38.876 on BS RF requirements, Huawei, HiSilicon </w:t>
            </w:r>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R4-2313501</w:t>
            </w:r>
            <w:r>
              <w:rPr>
                <w:rFonts w:hint="eastAsia" w:ascii="Arial" w:hAnsi="Arial" w:eastAsia="SimSun"/>
                <w:snapToGrid w:val="0"/>
                <w:sz w:val="18"/>
                <w:lang w:val="en-US" w:eastAsia="zh-CN"/>
              </w:rPr>
              <w:t>, TP for TR 38.876: General aspects, Apple</w:t>
            </w:r>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R4-2313502</w:t>
            </w:r>
            <w:r>
              <w:rPr>
                <w:rFonts w:hint="eastAsia" w:ascii="Arial" w:hAnsi="Arial" w:eastAsia="SimSun"/>
                <w:snapToGrid w:val="0"/>
                <w:sz w:val="18"/>
                <w:lang w:val="en-US" w:eastAsia="zh-CN"/>
              </w:rPr>
              <w:t xml:space="preserve">, TP for TR 38.876: ATG UE Tx requirement, Apple </w:t>
            </w:r>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R4-2314451</w:t>
            </w:r>
            <w:r>
              <w:rPr>
                <w:rFonts w:hint="eastAsia" w:ascii="Arial" w:hAnsi="Arial" w:eastAsia="SimSun"/>
                <w:snapToGrid w:val="0"/>
                <w:sz w:val="18"/>
                <w:lang w:val="en-US" w:eastAsia="zh-CN"/>
              </w:rPr>
              <w:t xml:space="preserve">, TP to TR 38.876: RRM requirements for ATG network, </w:t>
            </w:r>
            <w:bookmarkStart w:id="916" w:name="_Hlk41145958"/>
            <w:r>
              <w:rPr>
                <w:rFonts w:hint="eastAsia" w:ascii="Arial" w:hAnsi="Arial" w:eastAsia="SimSun"/>
                <w:snapToGrid w:val="0"/>
                <w:sz w:val="18"/>
                <w:lang w:val="en-US" w:eastAsia="zh-CN"/>
              </w:rPr>
              <w:t>CMCC</w:t>
            </w:r>
            <w:bookmarkEnd w:id="916"/>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R4-2314758</w:t>
            </w:r>
            <w:r>
              <w:rPr>
                <w:rFonts w:hint="eastAsia" w:ascii="Arial" w:hAnsi="Arial" w:eastAsia="SimSun"/>
                <w:snapToGrid w:val="0"/>
                <w:sz w:val="18"/>
                <w:lang w:val="en-US" w:eastAsia="zh-CN"/>
              </w:rPr>
              <w:t>, TP to TR 38.876: Extra results of co-existence synchronized scenarios in Annexure, Ericsson</w:t>
            </w:r>
          </w:p>
          <w:p>
            <w:pPr>
              <w:keepNext/>
              <w:keepLines/>
              <w:spacing w:after="0"/>
              <w:rPr>
                <w:rFonts w:ascii="Arial" w:hAnsi="Arial" w:eastAsia="SimSun"/>
                <w:snapToGrid w:val="0"/>
                <w:sz w:val="18"/>
                <w:lang w:val="en-US" w:eastAsia="zh-CN"/>
              </w:rPr>
            </w:pPr>
            <w:r>
              <w:rPr>
                <w:rFonts w:ascii="Arial" w:hAnsi="Arial" w:eastAsia="SimSun"/>
                <w:snapToGrid w:val="0"/>
                <w:sz w:val="18"/>
                <w:lang w:val="en-US" w:eastAsia="zh-CN"/>
              </w:rPr>
              <w:t>R4-2314760</w:t>
            </w:r>
            <w:r>
              <w:rPr>
                <w:rFonts w:hint="eastAsia" w:ascii="Arial" w:hAnsi="Arial" w:eastAsia="SimSun"/>
                <w:snapToGrid w:val="0"/>
                <w:sz w:val="18"/>
                <w:lang w:val="en-US" w:eastAsia="zh-CN"/>
              </w:rPr>
              <w:t>, TP for TR 38.876 to introduce ATG UE Tx requirements part 1, Huawei, HiSilicon</w:t>
            </w:r>
          </w:p>
        </w:tc>
        <w:tc>
          <w:tcPr>
            <w:tcW w:w="709" w:type="dxa"/>
            <w:shd w:val="solid" w:color="FFFFFF" w:fill="auto"/>
          </w:tcPr>
          <w:p>
            <w:pPr>
              <w:keepNext/>
              <w:keepLines/>
              <w:spacing w:after="0"/>
              <w:rPr>
                <w:rFonts w:ascii="Arial" w:hAnsi="Arial" w:eastAsia="SimSun"/>
                <w:snapToGrid w:val="0"/>
                <w:sz w:val="18"/>
                <w:lang w:val="en-US" w:eastAsia="zh-CN"/>
              </w:rPr>
            </w:pPr>
            <w:r>
              <w:rPr>
                <w:rFonts w:hint="eastAsia" w:ascii="Arial" w:hAnsi="Arial" w:eastAsia="SimSun"/>
                <w:snapToGrid w:val="0"/>
                <w:sz w:val="18"/>
                <w:lang w:val="en-US" w:eastAsia="zh-CN"/>
              </w:rPr>
              <w:t>0.4.0</w:t>
            </w:r>
          </w:p>
        </w:tc>
        <w:tc>
          <w:tcPr>
            <w:tcW w:w="709" w:type="dxa"/>
            <w:shd w:val="solid" w:color="FFFFFF" w:fill="auto"/>
          </w:tcPr>
          <w:p>
            <w:pPr>
              <w:keepNext/>
              <w:keepLines/>
              <w:spacing w:after="0"/>
              <w:rPr>
                <w:rFonts w:ascii="Arial" w:hAnsi="Arial" w:eastAsia="SimSun"/>
                <w:snapToGrid w:val="0"/>
                <w:sz w:val="18"/>
                <w:lang w:val="en-US" w:eastAsia="zh-CN"/>
              </w:rPr>
            </w:pPr>
            <w:r>
              <w:rPr>
                <w:rFonts w:hint="eastAsia" w:ascii="Arial" w:hAnsi="Arial" w:eastAsia="SimSun"/>
                <w:snapToGrid w:val="0"/>
                <w:sz w:val="18"/>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SimSun"/>
                <w:sz w:val="18"/>
                <w:szCs w:val="18"/>
                <w:lang w:val="en-US" w:eastAsia="zh-CN"/>
              </w:rPr>
            </w:pPr>
            <w:r>
              <w:rPr>
                <w:rFonts w:hint="eastAsia" w:ascii="Arial" w:hAnsi="Arial" w:eastAsia="SimSun"/>
                <w:sz w:val="18"/>
                <w:szCs w:val="18"/>
                <w:lang w:val="en-US" w:eastAsia="zh-CN"/>
              </w:rPr>
              <w:t>10/2023</w:t>
            </w:r>
          </w:p>
        </w:tc>
        <w:tc>
          <w:tcPr>
            <w:tcW w:w="1185"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RAN4#108bis</w:t>
            </w:r>
          </w:p>
        </w:tc>
        <w:tc>
          <w:tcPr>
            <w:tcW w:w="1134" w:type="dxa"/>
            <w:shd w:val="solid" w:color="FFFFFF" w:fill="auto"/>
          </w:tcPr>
          <w:p>
            <w:pPr>
              <w:keepNext/>
              <w:keepLines/>
              <w:spacing w:after="0"/>
              <w:rPr>
                <w:rFonts w:hint="default" w:ascii="Arial" w:hAnsi="Arial" w:eastAsia="SimSun"/>
                <w:sz w:val="18"/>
                <w:lang w:val="en-US" w:eastAsia="zh-CN"/>
              </w:rPr>
            </w:pPr>
            <w:r>
              <w:rPr>
                <w:rFonts w:hint="eastAsia" w:ascii="Arial" w:hAnsi="Arial" w:eastAsia="SimSun"/>
                <w:sz w:val="18"/>
                <w:lang w:val="en-US" w:eastAsia="zh-CN"/>
              </w:rPr>
              <w:t>R4-2315904</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hint="eastAsia" w:ascii="Arial" w:hAnsi="Arial" w:eastAsia="SimSun"/>
                <w:snapToGrid w:val="0"/>
                <w:sz w:val="18"/>
                <w:lang w:val="en-US" w:eastAsia="zh-CN"/>
              </w:rPr>
            </w:pPr>
            <w:r>
              <w:rPr>
                <w:rFonts w:ascii="Arial" w:hAnsi="Arial" w:eastAsia="SimSun"/>
                <w:snapToGrid w:val="0"/>
                <w:sz w:val="18"/>
                <w:lang w:val="en-US" w:eastAsia="zh-CN"/>
              </w:rPr>
              <w:t>R4-2317745</w:t>
            </w:r>
            <w:r>
              <w:rPr>
                <w:rFonts w:hint="eastAsia" w:ascii="Arial" w:hAnsi="Arial" w:eastAsia="SimSun"/>
                <w:snapToGrid w:val="0"/>
                <w:sz w:val="18"/>
                <w:lang w:val="en-US" w:eastAsia="zh-CN"/>
              </w:rPr>
              <w:t>, TP for TR 38.876 to introduce minimum output power requirements for ATG UE, Huawei, HiSilicon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R4-2317746 TP for TR 38.876 to introduce some consideration for OOBB requirements</w:t>
            </w:r>
            <w:r>
              <w:rPr>
                <w:rFonts w:hint="eastAsia" w:ascii="Arial" w:hAnsi="Arial" w:eastAsia="SimSun"/>
                <w:snapToGrid w:val="0"/>
                <w:sz w:val="18"/>
                <w:lang w:val="en-US" w:eastAsia="zh-CN"/>
              </w:rPr>
              <w:t>, Huawei, HiSilicon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R4-2315197</w:t>
            </w:r>
            <w:r>
              <w:rPr>
                <w:rFonts w:hint="eastAsia" w:ascii="Arial" w:hAnsi="Arial" w:eastAsia="SimSun"/>
                <w:snapToGrid w:val="0"/>
                <w:sz w:val="18"/>
                <w:lang w:val="en-US" w:eastAsia="zh-CN"/>
              </w:rPr>
              <w:t>, TP for ATG TR  annex calibration part, CMCC</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R4-2315443 TP for TR 38.876 Addition of Summary for synchronized scenarios simulation results</w:t>
            </w:r>
            <w:r>
              <w:rPr>
                <w:rFonts w:hint="eastAsia" w:ascii="Arial" w:hAnsi="Arial" w:eastAsia="SimSun"/>
                <w:snapToGrid w:val="0"/>
                <w:sz w:val="18"/>
                <w:lang w:val="en-US" w:eastAsia="zh-CN"/>
              </w:rPr>
              <w:t>, Ericsson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R4-2316518 TP to TR 38.876 In-band blocking</w:t>
            </w:r>
            <w:r>
              <w:rPr>
                <w:rFonts w:hint="eastAsia" w:ascii="Arial" w:hAnsi="Arial" w:eastAsia="SimSun"/>
                <w:snapToGrid w:val="0"/>
                <w:sz w:val="18"/>
                <w:lang w:val="en-US" w:eastAsia="zh-CN"/>
              </w:rPr>
              <w:t>, Ericsson</w:t>
            </w:r>
          </w:p>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R4-2316719, TP on TR 38.876 for ATG UE Rx requirements – Part 1, Qualcomm Incorporated</w:t>
            </w:r>
          </w:p>
          <w:p>
            <w:pPr>
              <w:keepNext/>
              <w:keepLines/>
              <w:spacing w:after="0"/>
              <w:rPr>
                <w:rFonts w:hint="default" w:ascii="Arial" w:hAnsi="Arial" w:eastAsia="SimSun"/>
                <w:snapToGrid w:val="0"/>
                <w:sz w:val="18"/>
                <w:lang w:val="en-US" w:eastAsia="zh-CN"/>
              </w:rPr>
            </w:pPr>
            <w:r>
              <w:rPr>
                <w:rFonts w:hint="default" w:ascii="Arial" w:hAnsi="Arial" w:eastAsia="SimSun"/>
                <w:snapToGrid w:val="0"/>
                <w:sz w:val="18"/>
                <w:lang w:val="en-US" w:eastAsia="zh-CN"/>
              </w:rPr>
              <w:t>R4-2317741</w:t>
            </w:r>
            <w:r>
              <w:rPr>
                <w:rFonts w:hint="eastAsia" w:ascii="Arial" w:hAnsi="Arial" w:eastAsia="SimSun"/>
                <w:snapToGrid w:val="0"/>
                <w:sz w:val="18"/>
                <w:lang w:val="en-US" w:eastAsia="zh-CN"/>
              </w:rPr>
              <w:t xml:space="preserve">, </w:t>
            </w:r>
            <w:r>
              <w:rPr>
                <w:rFonts w:hint="default" w:ascii="Arial" w:hAnsi="Arial" w:eastAsia="SimSun"/>
                <w:snapToGrid w:val="0"/>
                <w:sz w:val="18"/>
                <w:lang w:val="en-US" w:eastAsia="zh-CN"/>
              </w:rPr>
              <w:t>TP for TR 38876 - section 1 to section 6</w:t>
            </w:r>
            <w:r>
              <w:rPr>
                <w:rFonts w:hint="eastAsia" w:ascii="Arial" w:hAnsi="Arial" w:eastAsia="SimSun"/>
                <w:snapToGrid w:val="0"/>
                <w:sz w:val="18"/>
                <w:lang w:val="en-US" w:eastAsia="zh-CN"/>
              </w:rPr>
              <w:t>, CMCC</w:t>
            </w:r>
          </w:p>
        </w:tc>
        <w:tc>
          <w:tcPr>
            <w:tcW w:w="709"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0.5.0</w:t>
            </w:r>
          </w:p>
        </w:tc>
        <w:tc>
          <w:tcPr>
            <w:tcW w:w="709"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SimSun"/>
                <w:sz w:val="18"/>
                <w:szCs w:val="18"/>
                <w:lang w:val="en-US" w:eastAsia="zh-CN"/>
              </w:rPr>
            </w:pPr>
            <w:r>
              <w:rPr>
                <w:rFonts w:hint="eastAsia" w:ascii="Arial" w:hAnsi="Arial" w:eastAsia="SimSun"/>
                <w:sz w:val="18"/>
                <w:szCs w:val="18"/>
                <w:lang w:val="en-US" w:eastAsia="zh-CN"/>
              </w:rPr>
              <w:t>11/2023</w:t>
            </w:r>
          </w:p>
        </w:tc>
        <w:tc>
          <w:tcPr>
            <w:tcW w:w="1185"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RAN4#109</w:t>
            </w:r>
          </w:p>
        </w:tc>
        <w:tc>
          <w:tcPr>
            <w:tcW w:w="1134" w:type="dxa"/>
            <w:shd w:val="solid" w:color="FFFFFF" w:fill="auto"/>
          </w:tcPr>
          <w:p>
            <w:pPr>
              <w:keepNext/>
              <w:keepLines/>
              <w:spacing w:after="0"/>
              <w:rPr>
                <w:rFonts w:hint="eastAsia" w:ascii="Arial" w:hAnsi="Arial" w:eastAsia="SimSun"/>
                <w:sz w:val="18"/>
                <w:lang w:val="en-US" w:eastAsia="zh-CN"/>
              </w:rPr>
            </w:pPr>
            <w:r>
              <w:rPr>
                <w:rFonts w:hint="eastAsia" w:ascii="Arial" w:hAnsi="Arial" w:eastAsia="SimSun"/>
                <w:sz w:val="18"/>
                <w:lang w:val="en-US" w:eastAsia="zh-CN"/>
              </w:rPr>
              <w:t>R4-2319706</w:t>
            </w:r>
          </w:p>
        </w:tc>
        <w:tc>
          <w:tcPr>
            <w:tcW w:w="375" w:type="dxa"/>
            <w:shd w:val="solid" w:color="FFFFFF" w:fill="auto"/>
          </w:tcPr>
          <w:p>
            <w:pPr>
              <w:keepNext/>
              <w:keepLines/>
              <w:spacing w:after="0"/>
              <w:rPr>
                <w:rFonts w:ascii="Arial" w:hAnsi="Arial" w:eastAsia="SimSun"/>
                <w:snapToGrid w:val="0"/>
                <w:sz w:val="18"/>
                <w:lang w:val="en-AU"/>
              </w:rPr>
            </w:pPr>
          </w:p>
        </w:tc>
        <w:tc>
          <w:tcPr>
            <w:tcW w:w="428" w:type="dxa"/>
            <w:shd w:val="solid" w:color="FFFFFF" w:fill="auto"/>
          </w:tcPr>
          <w:p>
            <w:pPr>
              <w:keepNext/>
              <w:keepLines/>
              <w:spacing w:after="0"/>
              <w:rPr>
                <w:rFonts w:ascii="Arial" w:hAnsi="Arial" w:eastAsia="SimSun"/>
                <w:snapToGrid w:val="0"/>
                <w:sz w:val="18"/>
                <w:lang w:val="en-AU"/>
              </w:rPr>
            </w:pPr>
          </w:p>
        </w:tc>
        <w:tc>
          <w:tcPr>
            <w:tcW w:w="4583" w:type="dxa"/>
            <w:shd w:val="solid" w:color="FFFFFF" w:fill="auto"/>
          </w:tcPr>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R4-2318921</w:t>
            </w:r>
            <w:r>
              <w:rPr>
                <w:rFonts w:hint="eastAsia" w:ascii="Arial" w:hAnsi="Arial" w:eastAsia="SimSun"/>
                <w:snapToGrid w:val="0"/>
                <w:sz w:val="18"/>
                <w:lang w:val="en-US" w:eastAsia="zh-CN"/>
              </w:rPr>
              <w:t xml:space="preserve">, </w:t>
            </w:r>
            <w:r>
              <w:rPr>
                <w:rFonts w:hint="default" w:ascii="Arial" w:hAnsi="Arial" w:eastAsia="SimSun"/>
                <w:snapToGrid w:val="0"/>
                <w:sz w:val="18"/>
                <w:lang w:val="en-US" w:eastAsia="zh-CN"/>
              </w:rPr>
              <w:t>TP for TR 38.876 to add non-synchronized calibration part for ATG TR</w:t>
            </w:r>
            <w:r>
              <w:rPr>
                <w:rFonts w:hint="eastAsia" w:ascii="Arial" w:hAnsi="Arial" w:eastAsia="SimSun"/>
                <w:snapToGrid w:val="0"/>
                <w:sz w:val="18"/>
                <w:lang w:val="en-US" w:eastAsia="zh-CN"/>
              </w:rPr>
              <w:t>, CMCC</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R4-2319726</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to TR 38.876 Updated non-synchronized scenarios network layout model</w:t>
            </w:r>
            <w:r>
              <w:rPr>
                <w:rFonts w:hint="eastAsia" w:ascii="Arial" w:hAnsi="Arial" w:eastAsia="SimSun"/>
                <w:snapToGrid w:val="0"/>
                <w:sz w:val="18"/>
                <w:lang w:val="en-US" w:eastAsia="zh-CN"/>
              </w:rPr>
              <w:t>, Ericsson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R4-2319727</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to TR 38.876 Addition of co-existence simulation results for ATG non-synchronized scenarios</w:t>
            </w:r>
            <w:r>
              <w:rPr>
                <w:rFonts w:hint="eastAsia" w:ascii="Arial" w:hAnsi="Arial" w:eastAsia="SimSun"/>
                <w:snapToGrid w:val="0"/>
                <w:sz w:val="18"/>
                <w:lang w:val="en-US" w:eastAsia="zh-CN"/>
              </w:rPr>
              <w:t>, Ericsson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R4-2321911</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for TR 38.876 to add conclusion part and update omni-directional terminology and other description</w:t>
            </w:r>
            <w:r>
              <w:rPr>
                <w:rFonts w:hint="eastAsia" w:ascii="Arial" w:hAnsi="Arial" w:eastAsia="SimSun"/>
                <w:snapToGrid w:val="0"/>
                <w:sz w:val="18"/>
                <w:lang w:val="en-US" w:eastAsia="zh-CN"/>
              </w:rPr>
              <w:t>, CMCC</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R4-2321912</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for TR 38.876 to maintain the Tx RF requirements for ATG UE</w:t>
            </w:r>
            <w:r>
              <w:rPr>
                <w:rFonts w:hint="eastAsia" w:ascii="Arial" w:hAnsi="Arial" w:eastAsia="SimSun"/>
                <w:snapToGrid w:val="0"/>
                <w:sz w:val="18"/>
                <w:lang w:val="en-US" w:eastAsia="zh-CN"/>
              </w:rPr>
              <w:t>, Huawei, HiSilicon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R4-2319798</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to TR 38.876 on intermodulation characteristics</w:t>
            </w:r>
            <w:r>
              <w:rPr>
                <w:rFonts w:hint="eastAsia" w:ascii="Arial" w:hAnsi="Arial" w:eastAsia="SimSun"/>
                <w:snapToGrid w:val="0"/>
                <w:sz w:val="18"/>
                <w:lang w:val="en-US" w:eastAsia="zh-CN"/>
              </w:rPr>
              <w:t>, Ericsson</w:t>
            </w:r>
          </w:p>
          <w:p>
            <w:pPr>
              <w:keepNext/>
              <w:keepLines/>
              <w:spacing w:after="0"/>
              <w:rPr>
                <w:rFonts w:hint="eastAsia" w:ascii="Arial" w:hAnsi="Arial" w:eastAsia="SimSun"/>
                <w:snapToGrid w:val="0"/>
                <w:sz w:val="18"/>
                <w:lang w:val="en-US" w:eastAsia="zh-CN"/>
              </w:rPr>
            </w:pPr>
            <w:r>
              <w:rPr>
                <w:rFonts w:hint="default" w:ascii="Arial" w:hAnsi="Arial" w:eastAsia="SimSun"/>
                <w:snapToGrid w:val="0"/>
                <w:sz w:val="18"/>
                <w:lang w:val="en-US" w:eastAsia="zh-CN"/>
              </w:rPr>
              <w:t>R4-2321916</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to TR 38.876 on ATG UE Maximum input level</w:t>
            </w:r>
            <w:r>
              <w:rPr>
                <w:rFonts w:hint="eastAsia" w:ascii="Arial" w:hAnsi="Arial" w:eastAsia="SimSun"/>
                <w:snapToGrid w:val="0"/>
                <w:sz w:val="18"/>
                <w:lang w:val="en-US" w:eastAsia="zh-CN"/>
              </w:rPr>
              <w:t>, Qualcomm Incorporated</w:t>
            </w:r>
          </w:p>
          <w:p>
            <w:pPr>
              <w:keepNext/>
              <w:keepLines/>
              <w:spacing w:after="0"/>
              <w:rPr>
                <w:rFonts w:hint="default" w:ascii="Arial" w:hAnsi="Arial" w:eastAsia="SimSun"/>
                <w:snapToGrid w:val="0"/>
                <w:sz w:val="18"/>
                <w:lang w:val="en-US" w:eastAsia="zh-CN"/>
              </w:rPr>
            </w:pPr>
            <w:r>
              <w:rPr>
                <w:rFonts w:hint="default" w:ascii="Arial" w:hAnsi="Arial" w:eastAsia="SimSun"/>
                <w:snapToGrid w:val="0"/>
                <w:sz w:val="18"/>
                <w:lang w:val="en-US" w:eastAsia="zh-CN"/>
              </w:rPr>
              <w:t>R4-2318902</w:t>
            </w:r>
            <w:r>
              <w:rPr>
                <w:rFonts w:hint="default" w:ascii="Arial" w:hAnsi="Arial" w:eastAsia="SimSun"/>
                <w:snapToGrid w:val="0"/>
                <w:sz w:val="18"/>
                <w:lang w:val="en-US" w:eastAsia="zh-CN"/>
              </w:rPr>
              <w:tab/>
            </w:r>
            <w:r>
              <w:rPr>
                <w:rFonts w:hint="default" w:ascii="Arial" w:hAnsi="Arial" w:eastAsia="SimSun"/>
                <w:snapToGrid w:val="0"/>
                <w:sz w:val="18"/>
                <w:lang w:val="en-US" w:eastAsia="zh-CN"/>
              </w:rPr>
              <w:t>TP to TR 38.876: RRM requirements for ATG network</w:t>
            </w:r>
            <w:r>
              <w:rPr>
                <w:rFonts w:hint="eastAsia" w:ascii="Arial" w:hAnsi="Arial" w:eastAsia="SimSun"/>
                <w:snapToGrid w:val="0"/>
                <w:sz w:val="18"/>
                <w:lang w:val="en-US" w:eastAsia="zh-CN"/>
              </w:rPr>
              <w:t>, CMCC</w:t>
            </w:r>
          </w:p>
        </w:tc>
        <w:tc>
          <w:tcPr>
            <w:tcW w:w="709"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0.6.0</w:t>
            </w:r>
          </w:p>
        </w:tc>
        <w:tc>
          <w:tcPr>
            <w:tcW w:w="709" w:type="dxa"/>
            <w:shd w:val="solid" w:color="FFFFFF" w:fill="auto"/>
          </w:tcPr>
          <w:p>
            <w:pPr>
              <w:keepNext/>
              <w:keepLines/>
              <w:spacing w:after="0"/>
              <w:rPr>
                <w:rFonts w:hint="default" w:ascii="Arial" w:hAnsi="Arial" w:eastAsia="SimSun"/>
                <w:snapToGrid w:val="0"/>
                <w:sz w:val="18"/>
                <w:lang w:val="en-US" w:eastAsia="zh-CN"/>
              </w:rPr>
            </w:pPr>
            <w:r>
              <w:rPr>
                <w:rFonts w:hint="eastAsia" w:ascii="Arial" w:hAnsi="Arial" w:eastAsia="SimSun"/>
                <w:snapToGrid w:val="0"/>
                <w:sz w:val="18"/>
                <w:lang w:val="en-US" w:eastAsia="zh-CN"/>
              </w:rPr>
              <w:t>0.7.0</w:t>
            </w:r>
          </w:p>
        </w:tc>
      </w:tr>
    </w:tbl>
    <w:p>
      <w:pPr>
        <w:rPr>
          <w:lang w:eastAsia="zh-CN"/>
        </w:rPr>
      </w:pPr>
    </w:p>
    <w:p>
      <w:pPr>
        <w:rPr>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2010600030101010101"/>
    <w:charset w:val="86"/>
    <w:family w:val="auto"/>
    <w:pitch w:val="default"/>
    <w:sig w:usb0="00000000" w:usb1="00000000" w:usb2="00000016" w:usb3="00000000" w:csb0="0004000F" w:csb1="00000000"/>
  </w:font>
  <w:font w:name="Tahoma">
    <w:panose1 w:val="020B0604030504040204"/>
    <w:charset w:val="00"/>
    <w:family w:val="swiss"/>
    <w:pitch w:val="default"/>
    <w:sig w:usb0="E1002EFF" w:usb1="C000605B" w:usb2="00000029" w:usb3="00000000" w:csb0="200101FF" w:csb1="20280000"/>
  </w:font>
  <w:font w:name="SimSun">
    <w:panose1 w:val="02010600030101010101"/>
    <w:charset w:val="50"/>
    <w:family w:val="auto"/>
    <w:pitch w:val="default"/>
    <w:sig w:usb0="00000203" w:usb1="288F0000" w:usb2="00000006" w:usb3="00000000" w:csb0="00040001" w:csb1="00000000"/>
  </w:font>
  <w:font w:name="Calibri Light">
    <w:panose1 w:val="020F0302020204030204"/>
    <w:charset w:val="00"/>
    <w:family w:val="swiss"/>
    <w:pitch w:val="default"/>
    <w:sig w:usb0="E4002EFF" w:usb1="C200247B" w:usb2="00000009" w:usb3="00000000" w:csb0="200001FF" w:csb1="00000000"/>
  </w:font>
  <w:font w:name="Arial Bold">
    <w:altName w:val="Arial"/>
    <w:panose1 w:val="020B0704020202020204"/>
    <w:charset w:val="00"/>
    <w:family w:val="auto"/>
    <w:pitch w:val="default"/>
    <w:sig w:usb0="00000000" w:usb1="00000000" w:usb2="00000000" w:usb3="00000000" w:csb0="00000001" w:csb1="00000000"/>
  </w:font>
  <w:font w:name="Helvetica 55 Roman">
    <w:altName w:val="Malgun Gothic"/>
    <w:panose1 w:val="00000000000000000000"/>
    <w:charset w:val="00"/>
    <w:family w:val="auto"/>
    <w:pitch w:val="default"/>
    <w:sig w:usb0="00000000" w:usb1="00000000" w:usb2="00000000" w:usb3="00000000" w:csb0="00000001" w:csb1="00000000"/>
  </w:font>
  <w:font w:name="v5.0.0">
    <w:altName w:val="Times New Roman"/>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0000010" w:usb3="00000000" w:csb0="4002009F" w:csb1="DFD70000"/>
  </w:font>
  <w:font w:name="Yu Mincho">
    <w:altName w:val="Yu Gothic UI"/>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uto" w:vAnchor="text" w:hAnchor="margin" w:xAlign="right" w:y="1"/>
      <w:widowControl/>
    </w:pPr>
    <w:r>
      <w:fldChar w:fldCharType="begin"/>
    </w:r>
    <w:r>
      <w:instrText xml:space="preserve"> STYLEREF ZA </w:instrText>
    </w:r>
    <w:r>
      <w:fldChar w:fldCharType="separate"/>
    </w:r>
    <w:r>
      <w:t>3GPP TR 38.876 V0.7.0 (2023-11)</w:t>
    </w:r>
    <w:r>
      <w:fldChar w:fldCharType="end"/>
    </w:r>
  </w:p>
  <w:p>
    <w:pPr>
      <w:pStyle w:val="38"/>
      <w:framePr w:wrap="auto" w:vAnchor="text" w:hAnchor="margin" w:xAlign="center" w:y="1"/>
      <w:widowControl/>
    </w:pPr>
    <w:r>
      <w:fldChar w:fldCharType="begin"/>
    </w:r>
    <w:r>
      <w:instrText xml:space="preserve"> PAGE </w:instrText>
    </w:r>
    <w:r>
      <w:fldChar w:fldCharType="separate"/>
    </w:r>
    <w:r>
      <w:t>11</w:t>
    </w:r>
    <w:r>
      <w:fldChar w:fldCharType="end"/>
    </w:r>
  </w:p>
  <w:p>
    <w:pPr>
      <w:pStyle w:val="38"/>
      <w:framePr w:wrap="auto" w:vAnchor="text" w:hAnchor="margin" w:y="1"/>
      <w:widowControl/>
    </w:pPr>
    <w:r>
      <w:fldChar w:fldCharType="begin"/>
    </w:r>
    <w:r>
      <w:instrText xml:space="preserve"> STYLEREF ZGSM </w:instrText>
    </w:r>
    <w:r>
      <w:fldChar w:fldCharType="separate"/>
    </w:r>
    <w:r>
      <w:t>Release 18</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F3BEE6"/>
    <w:multiLevelType w:val="singleLevel"/>
    <w:tmpl w:val="89F3BEE6"/>
    <w:lvl w:ilvl="0" w:tentative="0">
      <w:start w:val="1"/>
      <w:numFmt w:val="bullet"/>
      <w:lvlText w:val=""/>
      <w:lvlJc w:val="left"/>
      <w:pPr>
        <w:ind w:left="420" w:hanging="420"/>
      </w:pPr>
      <w:rPr>
        <w:rFonts w:hint="default" w:ascii="Wingdings" w:hAnsi="Wingdings"/>
      </w:rPr>
    </w:lvl>
  </w:abstractNum>
  <w:abstractNum w:abstractNumId="1">
    <w:nsid w:val="24464EAF"/>
    <w:multiLevelType w:val="multilevel"/>
    <w:tmpl w:val="24464E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2D8BA474"/>
    <w:multiLevelType w:val="singleLevel"/>
    <w:tmpl w:val="2D8BA474"/>
    <w:lvl w:ilvl="0" w:tentative="0">
      <w:start w:val="1"/>
      <w:numFmt w:val="bullet"/>
      <w:lvlText w:val=""/>
      <w:lvlJc w:val="left"/>
      <w:pPr>
        <w:ind w:left="420" w:hanging="420"/>
      </w:pPr>
      <w:rPr>
        <w:rFonts w:hint="default" w:ascii="Wingdings" w:hAnsi="Wingdings"/>
      </w:rPr>
    </w:lvl>
  </w:abstractNum>
  <w:abstractNum w:abstractNumId="3">
    <w:nsid w:val="2D8D880C"/>
    <w:multiLevelType w:val="singleLevel"/>
    <w:tmpl w:val="2D8D880C"/>
    <w:lvl w:ilvl="0" w:tentative="0">
      <w:start w:val="1"/>
      <w:numFmt w:val="bullet"/>
      <w:lvlText w:val=""/>
      <w:lvlJc w:val="left"/>
      <w:pPr>
        <w:ind w:left="420" w:hanging="420"/>
      </w:pPr>
      <w:rPr>
        <w:rFonts w:hint="default" w:ascii="Wingdings" w:hAnsi="Wingdings"/>
      </w:rPr>
    </w:lvl>
  </w:abstractNum>
  <w:abstractNum w:abstractNumId="4">
    <w:nsid w:val="3AA46647"/>
    <w:multiLevelType w:val="multilevel"/>
    <w:tmpl w:val="3AA46647"/>
    <w:lvl w:ilvl="0" w:tentative="0">
      <w:start w:val="1"/>
      <w:numFmt w:val="decimal"/>
      <w:pStyle w:val="146"/>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4BDF65F6"/>
    <w:multiLevelType w:val="multilevel"/>
    <w:tmpl w:val="4BDF65F6"/>
    <w:lvl w:ilvl="0" w:tentative="0">
      <w:start w:val="1"/>
      <w:numFmt w:val="decimal"/>
      <w:pStyle w:val="144"/>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5101505E"/>
    <w:multiLevelType w:val="multilevel"/>
    <w:tmpl w:val="5101505E"/>
    <w:lvl w:ilvl="0" w:tentative="0">
      <w:start w:val="1"/>
      <w:numFmt w:val="decimal"/>
      <w:pStyle w:val="147"/>
      <w:lvlText w:val="Observation %1"/>
      <w:lvlJc w:val="left"/>
      <w:pPr>
        <w:ind w:left="643" w:hanging="360"/>
      </w:pPr>
      <w:rPr>
        <w:rFonts w:hint="default"/>
      </w:rPr>
    </w:lvl>
    <w:lvl w:ilvl="1" w:tentative="0">
      <w:start w:val="1"/>
      <w:numFmt w:val="lowerLetter"/>
      <w:lvlText w:val="%2."/>
      <w:lvlJc w:val="left"/>
      <w:pPr>
        <w:ind w:left="1439" w:hanging="360"/>
      </w:pPr>
    </w:lvl>
    <w:lvl w:ilvl="2" w:tentative="0">
      <w:start w:val="1"/>
      <w:numFmt w:val="lowerRoman"/>
      <w:lvlText w:val="%3."/>
      <w:lvlJc w:val="right"/>
      <w:pPr>
        <w:ind w:left="2159" w:hanging="180"/>
      </w:pPr>
    </w:lvl>
    <w:lvl w:ilvl="3" w:tentative="0">
      <w:start w:val="1"/>
      <w:numFmt w:val="decimal"/>
      <w:lvlText w:val="%4."/>
      <w:lvlJc w:val="left"/>
      <w:pPr>
        <w:ind w:left="2879" w:hanging="360"/>
      </w:pPr>
    </w:lvl>
    <w:lvl w:ilvl="4" w:tentative="0">
      <w:start w:val="1"/>
      <w:numFmt w:val="lowerLetter"/>
      <w:lvlText w:val="%5."/>
      <w:lvlJc w:val="left"/>
      <w:pPr>
        <w:ind w:left="3599" w:hanging="360"/>
      </w:pPr>
    </w:lvl>
    <w:lvl w:ilvl="5" w:tentative="0">
      <w:start w:val="1"/>
      <w:numFmt w:val="lowerRoman"/>
      <w:lvlText w:val="%6."/>
      <w:lvlJc w:val="right"/>
      <w:pPr>
        <w:ind w:left="4319" w:hanging="180"/>
      </w:pPr>
    </w:lvl>
    <w:lvl w:ilvl="6" w:tentative="0">
      <w:start w:val="1"/>
      <w:numFmt w:val="decimal"/>
      <w:lvlText w:val="%7."/>
      <w:lvlJc w:val="left"/>
      <w:pPr>
        <w:ind w:left="5039" w:hanging="360"/>
      </w:pPr>
    </w:lvl>
    <w:lvl w:ilvl="7" w:tentative="0">
      <w:start w:val="1"/>
      <w:numFmt w:val="lowerLetter"/>
      <w:lvlText w:val="%8."/>
      <w:lvlJc w:val="left"/>
      <w:pPr>
        <w:ind w:left="5759" w:hanging="360"/>
      </w:pPr>
    </w:lvl>
    <w:lvl w:ilvl="8" w:tentative="0">
      <w:start w:val="1"/>
      <w:numFmt w:val="lowerRoman"/>
      <w:lvlText w:val="%9."/>
      <w:lvlJc w:val="right"/>
      <w:pPr>
        <w:ind w:left="6479" w:hanging="180"/>
      </w:pPr>
    </w:lvl>
  </w:abstractNum>
  <w:abstractNum w:abstractNumId="7">
    <w:nsid w:val="58B73482"/>
    <w:multiLevelType w:val="multilevel"/>
    <w:tmpl w:val="58B73482"/>
    <w:lvl w:ilvl="0" w:tentative="0">
      <w:start w:val="1"/>
      <w:numFmt w:val="bullet"/>
      <w:lvlText w:val=""/>
      <w:lvlJc w:val="left"/>
      <w:pPr>
        <w:tabs>
          <w:tab w:val="left" w:pos="-420"/>
        </w:tabs>
        <w:ind w:left="-60" w:hanging="360"/>
      </w:pPr>
      <w:rPr>
        <w:rFonts w:hint="default" w:ascii="Symbol" w:hAnsi="Symbol"/>
      </w:rPr>
    </w:lvl>
    <w:lvl w:ilvl="1" w:tentative="0">
      <w:start w:val="1"/>
      <w:numFmt w:val="bullet"/>
      <w:lvlText w:val="o"/>
      <w:lvlJc w:val="left"/>
      <w:pPr>
        <w:tabs>
          <w:tab w:val="left" w:pos="-420"/>
        </w:tabs>
        <w:ind w:left="660" w:hanging="360"/>
      </w:pPr>
      <w:rPr>
        <w:rFonts w:hint="default" w:ascii="Courier New" w:hAnsi="Courier New" w:cs="Courier New"/>
      </w:rPr>
    </w:lvl>
    <w:lvl w:ilvl="2" w:tentative="0">
      <w:start w:val="1"/>
      <w:numFmt w:val="bullet"/>
      <w:lvlText w:val=""/>
      <w:lvlJc w:val="left"/>
      <w:pPr>
        <w:tabs>
          <w:tab w:val="left" w:pos="-420"/>
        </w:tabs>
        <w:ind w:left="1380" w:hanging="360"/>
      </w:pPr>
      <w:rPr>
        <w:rFonts w:hint="default" w:ascii="Wingdings" w:hAnsi="Wingdings"/>
      </w:rPr>
    </w:lvl>
    <w:lvl w:ilvl="3" w:tentative="0">
      <w:start w:val="1"/>
      <w:numFmt w:val="bullet"/>
      <w:lvlText w:val=""/>
      <w:lvlJc w:val="left"/>
      <w:pPr>
        <w:tabs>
          <w:tab w:val="left" w:pos="-420"/>
        </w:tabs>
        <w:ind w:left="2100" w:hanging="360"/>
      </w:pPr>
      <w:rPr>
        <w:rFonts w:hint="default" w:ascii="Symbol" w:hAnsi="Symbol"/>
      </w:rPr>
    </w:lvl>
    <w:lvl w:ilvl="4" w:tentative="0">
      <w:start w:val="1"/>
      <w:numFmt w:val="bullet"/>
      <w:lvlText w:val="o"/>
      <w:lvlJc w:val="left"/>
      <w:pPr>
        <w:tabs>
          <w:tab w:val="left" w:pos="-420"/>
        </w:tabs>
        <w:ind w:left="2820" w:hanging="360"/>
      </w:pPr>
      <w:rPr>
        <w:rFonts w:hint="default" w:ascii="Courier New" w:hAnsi="Courier New" w:cs="Courier New"/>
      </w:rPr>
    </w:lvl>
    <w:lvl w:ilvl="5" w:tentative="0">
      <w:start w:val="0"/>
      <w:numFmt w:val="bullet"/>
      <w:lvlText w:val="-"/>
      <w:lvlJc w:val="left"/>
      <w:pPr>
        <w:tabs>
          <w:tab w:val="left" w:pos="-420"/>
        </w:tabs>
        <w:ind w:left="3540" w:hanging="360"/>
      </w:pPr>
      <w:rPr>
        <w:rFonts w:hint="default" w:ascii="Times New Roman" w:hAnsi="Times New Roman" w:eastAsia="Yu Mincho" w:cs="Times New Roman"/>
      </w:rPr>
    </w:lvl>
    <w:lvl w:ilvl="6" w:tentative="0">
      <w:start w:val="1"/>
      <w:numFmt w:val="bullet"/>
      <w:lvlText w:val=""/>
      <w:lvlJc w:val="left"/>
      <w:pPr>
        <w:tabs>
          <w:tab w:val="left" w:pos="-420"/>
        </w:tabs>
        <w:ind w:left="4260" w:hanging="360"/>
      </w:pPr>
      <w:rPr>
        <w:rFonts w:hint="default" w:ascii="Symbol" w:hAnsi="Symbol"/>
      </w:rPr>
    </w:lvl>
    <w:lvl w:ilvl="7" w:tentative="0">
      <w:start w:val="1"/>
      <w:numFmt w:val="bullet"/>
      <w:lvlText w:val="o"/>
      <w:lvlJc w:val="left"/>
      <w:pPr>
        <w:tabs>
          <w:tab w:val="left" w:pos="-420"/>
        </w:tabs>
        <w:ind w:left="4980" w:hanging="360"/>
      </w:pPr>
      <w:rPr>
        <w:rFonts w:hint="default" w:ascii="Courier New" w:hAnsi="Courier New" w:cs="Courier New"/>
      </w:rPr>
    </w:lvl>
    <w:lvl w:ilvl="8" w:tentative="0">
      <w:start w:val="1"/>
      <w:numFmt w:val="bullet"/>
      <w:lvlText w:val=""/>
      <w:lvlJc w:val="left"/>
      <w:pPr>
        <w:tabs>
          <w:tab w:val="left" w:pos="-420"/>
        </w:tabs>
        <w:ind w:left="5700" w:hanging="360"/>
      </w:pPr>
      <w:rPr>
        <w:rFonts w:hint="default" w:ascii="Wingdings" w:hAnsi="Wingdings"/>
      </w:rPr>
    </w:lvl>
  </w:abstractNum>
  <w:abstractNum w:abstractNumId="8">
    <w:nsid w:val="5B46ABCE"/>
    <w:multiLevelType w:val="singleLevel"/>
    <w:tmpl w:val="5B46ABCE"/>
    <w:lvl w:ilvl="0" w:tentative="0">
      <w:start w:val="1"/>
      <w:numFmt w:val="bullet"/>
      <w:lvlText w:val=""/>
      <w:lvlJc w:val="left"/>
      <w:pPr>
        <w:ind w:left="420" w:hanging="420"/>
      </w:pPr>
      <w:rPr>
        <w:rFonts w:hint="default" w:ascii="Wingdings" w:hAnsi="Wingdings"/>
      </w:rPr>
    </w:lvl>
  </w:abstractNum>
  <w:abstractNum w:abstractNumId="9">
    <w:nsid w:val="626A3CEE"/>
    <w:multiLevelType w:val="multilevel"/>
    <w:tmpl w:val="626A3C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688A35D6"/>
    <w:multiLevelType w:val="multilevel"/>
    <w:tmpl w:val="688A35D6"/>
    <w:lvl w:ilvl="0" w:tentative="0">
      <w:start w:val="1"/>
      <w:numFmt w:val="decimal"/>
      <w:pStyle w:val="105"/>
      <w:lvlText w:val="%1."/>
      <w:lvlJc w:val="left"/>
      <w:pPr>
        <w:tabs>
          <w:tab w:val="left" w:pos="397"/>
        </w:tabs>
        <w:ind w:left="397" w:hanging="397"/>
      </w:pPr>
      <w:rPr>
        <w:rFonts w:hint="default" w:ascii="Arial" w:hAnsi="Arial" w:cs="Times New Roman"/>
        <w:b w:val="0"/>
        <w:i w:val="0"/>
        <w:color w:val="D2232A"/>
        <w:sz w:val="20"/>
      </w:rPr>
    </w:lvl>
    <w:lvl w:ilvl="1" w:tentative="0">
      <w:start w:val="1"/>
      <w:numFmt w:val="lowerLetter"/>
      <w:lvlText w:val="%2)"/>
      <w:lvlJc w:val="left"/>
      <w:pPr>
        <w:tabs>
          <w:tab w:val="left" w:pos="397"/>
        </w:tabs>
        <w:ind w:left="737" w:hanging="340"/>
      </w:pPr>
      <w:rPr>
        <w:rFonts w:hint="default" w:ascii="Arial" w:hAnsi="Arial" w:cs="Times New Roman"/>
        <w:b w:val="0"/>
        <w:i w:val="0"/>
        <w:color w:val="D2232A"/>
        <w:sz w:val="20"/>
      </w:rPr>
    </w:lvl>
    <w:lvl w:ilvl="2" w:tentative="0">
      <w:start w:val="1"/>
      <w:numFmt w:val="none"/>
      <w:lvlText w:val=""/>
      <w:lvlJc w:val="left"/>
      <w:pPr>
        <w:tabs>
          <w:tab w:val="left" w:pos="720"/>
        </w:tabs>
        <w:ind w:left="720" w:hanging="720"/>
      </w:pPr>
      <w:rPr>
        <w:rFonts w:hint="default" w:ascii="Arial Bold" w:hAnsi="Arial Bold" w:cs="Times New Roman"/>
        <w:b/>
        <w:i w:val="0"/>
        <w:sz w:val="20"/>
      </w:rPr>
    </w:lvl>
    <w:lvl w:ilvl="3" w:tentative="0">
      <w:start w:val="1"/>
      <w:numFmt w:val="none"/>
      <w:lvlText w:val=""/>
      <w:lvlJc w:val="left"/>
      <w:pPr>
        <w:tabs>
          <w:tab w:val="left" w:pos="864"/>
        </w:tabs>
        <w:ind w:left="864" w:hanging="864"/>
      </w:pPr>
      <w:rPr>
        <w:rFonts w:hint="default" w:ascii="Arial" w:hAnsi="Arial" w:cs="Times New Roman"/>
        <w:b w:val="0"/>
        <w:i/>
        <w:color w:val="2F2E79"/>
        <w:sz w:val="20"/>
      </w:rPr>
    </w:lvl>
    <w:lvl w:ilvl="4" w:tentative="0">
      <w:start w:val="1"/>
      <w:numFmt w:val="none"/>
      <w:lvlText w:val=""/>
      <w:lvlJc w:val="left"/>
      <w:pPr>
        <w:tabs>
          <w:tab w:val="left" w:pos="1008"/>
        </w:tabs>
        <w:ind w:left="1008" w:hanging="1008"/>
      </w:pPr>
      <w:rPr>
        <w:rFonts w:hint="default" w:cs="Times New Roman"/>
        <w:sz w:val="24"/>
      </w:rPr>
    </w:lvl>
    <w:lvl w:ilvl="5" w:tentative="0">
      <w:start w:val="1"/>
      <w:numFmt w:val="none"/>
      <w:lvlText w:val=""/>
      <w:lvlJc w:val="left"/>
      <w:pPr>
        <w:tabs>
          <w:tab w:val="left" w:pos="1152"/>
        </w:tabs>
        <w:ind w:left="1152" w:hanging="1152"/>
      </w:pPr>
      <w:rPr>
        <w:rFonts w:hint="default" w:cs="Times New Roman"/>
      </w:rPr>
    </w:lvl>
    <w:lvl w:ilvl="6" w:tentative="0">
      <w:start w:val="1"/>
      <w:numFmt w:val="none"/>
      <w:lvlText w:val=""/>
      <w:lvlJc w:val="left"/>
      <w:pPr>
        <w:tabs>
          <w:tab w:val="left" w:pos="1296"/>
        </w:tabs>
        <w:ind w:left="1296" w:hanging="1296"/>
      </w:pPr>
      <w:rPr>
        <w:rFonts w:hint="default" w:cs="Times New Roman"/>
      </w:rPr>
    </w:lvl>
    <w:lvl w:ilvl="7" w:tentative="0">
      <w:start w:val="1"/>
      <w:numFmt w:val="none"/>
      <w:lvlText w:val=""/>
      <w:lvlJc w:val="left"/>
      <w:pPr>
        <w:tabs>
          <w:tab w:val="left" w:pos="1440"/>
        </w:tabs>
        <w:ind w:left="1440" w:hanging="1440"/>
      </w:pPr>
      <w:rPr>
        <w:rFonts w:hint="default" w:cs="Times New Roman"/>
      </w:rPr>
    </w:lvl>
    <w:lvl w:ilvl="8" w:tentative="0">
      <w:start w:val="1"/>
      <w:numFmt w:val="none"/>
      <w:lvlText w:val=""/>
      <w:lvlJc w:val="left"/>
      <w:pPr>
        <w:tabs>
          <w:tab w:val="left" w:pos="1584"/>
        </w:tabs>
        <w:ind w:left="1584" w:hanging="1584"/>
      </w:pPr>
      <w:rPr>
        <w:rFonts w:hint="default" w:cs="Times New Roman"/>
      </w:rPr>
    </w:lvl>
  </w:abstractNum>
  <w:abstractNum w:abstractNumId="11">
    <w:nsid w:val="793EDF79"/>
    <w:multiLevelType w:val="singleLevel"/>
    <w:tmpl w:val="793EDF79"/>
    <w:lvl w:ilvl="0" w:tentative="0">
      <w:start w:val="1"/>
      <w:numFmt w:val="bullet"/>
      <w:lvlText w:val=""/>
      <w:lvlJc w:val="left"/>
      <w:pPr>
        <w:ind w:left="420" w:hanging="420"/>
      </w:pPr>
      <w:rPr>
        <w:rFonts w:hint="default" w:ascii="Wingdings" w:hAnsi="Wingdings"/>
      </w:rPr>
    </w:lvl>
  </w:abstractNum>
  <w:abstractNum w:abstractNumId="12">
    <w:nsid w:val="7A8247FE"/>
    <w:multiLevelType w:val="multilevel"/>
    <w:tmpl w:val="7A8247F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num w:numId="1">
    <w:abstractNumId w:val="10"/>
  </w:num>
  <w:num w:numId="2">
    <w:abstractNumId w:val="5"/>
  </w:num>
  <w:num w:numId="3">
    <w:abstractNumId w:val="4"/>
  </w:num>
  <w:num w:numId="4">
    <w:abstractNumId w:val="6"/>
  </w:num>
  <w:num w:numId="5">
    <w:abstractNumId w:val="1"/>
  </w:num>
  <w:num w:numId="6">
    <w:abstractNumId w:val="3"/>
  </w:num>
  <w:num w:numId="7">
    <w:abstractNumId w:val="11"/>
  </w:num>
  <w:num w:numId="8">
    <w:abstractNumId w:val="9"/>
  </w:num>
  <w:num w:numId="9">
    <w:abstractNumId w:val="7"/>
  </w:num>
  <w:num w:numId="10">
    <w:abstractNumId w:val="2"/>
  </w:num>
  <w:num w:numId="11">
    <w:abstractNumId w:val="8"/>
  </w:num>
  <w:num w:numId="12">
    <w:abstractNumId w:val="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40"/>
  <w:removePersonalInformation/>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ZkZDYyNzU3ZmI0YmNiMmVhNWYyYmZkYzQyYjAwYWYifQ=="/>
  </w:docVars>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36AE"/>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8A65D3D"/>
    <w:rsid w:val="094354B8"/>
    <w:rsid w:val="0A1E592A"/>
    <w:rsid w:val="0A26175F"/>
    <w:rsid w:val="0A764F4F"/>
    <w:rsid w:val="0A897D9E"/>
    <w:rsid w:val="0AC4486F"/>
    <w:rsid w:val="0AFA4540"/>
    <w:rsid w:val="0B6612FE"/>
    <w:rsid w:val="0B6C5B42"/>
    <w:rsid w:val="0C020FC2"/>
    <w:rsid w:val="0D950B74"/>
    <w:rsid w:val="0DA251EB"/>
    <w:rsid w:val="0FE84A74"/>
    <w:rsid w:val="100F1E28"/>
    <w:rsid w:val="105F54ED"/>
    <w:rsid w:val="10B95618"/>
    <w:rsid w:val="110A6481"/>
    <w:rsid w:val="113830CF"/>
    <w:rsid w:val="11AB23E2"/>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9311FD"/>
    <w:rsid w:val="409D1B0D"/>
    <w:rsid w:val="40AE30AC"/>
    <w:rsid w:val="4106480E"/>
    <w:rsid w:val="41961672"/>
    <w:rsid w:val="41BD0D67"/>
    <w:rsid w:val="41F23958"/>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B1107D"/>
    <w:rsid w:val="7BDA54F4"/>
    <w:rsid w:val="7C207132"/>
    <w:rsid w:val="7C2A7A42"/>
    <w:rsid w:val="7C461570"/>
    <w:rsid w:val="7C463AEF"/>
    <w:rsid w:val="7C6B272E"/>
    <w:rsid w:val="7CB637D9"/>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40"/>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30"/>
    <w:qFormat/>
    <w:uiPriority w:val="0"/>
    <w:pPr>
      <w:pBdr>
        <w:top w:val="none" w:color="auto" w:sz="0" w:space="0"/>
      </w:pBdr>
      <w:spacing w:before="180"/>
      <w:outlineLvl w:val="1"/>
    </w:pPr>
    <w:rPr>
      <w:sz w:val="32"/>
    </w:rPr>
  </w:style>
  <w:style w:type="paragraph" w:styleId="4">
    <w:name w:val="heading 3"/>
    <w:basedOn w:val="3"/>
    <w:next w:val="1"/>
    <w:link w:val="131"/>
    <w:qFormat/>
    <w:uiPriority w:val="9"/>
    <w:pPr>
      <w:spacing w:before="120"/>
      <w:outlineLvl w:val="2"/>
    </w:pPr>
    <w:rPr>
      <w:sz w:val="28"/>
    </w:rPr>
  </w:style>
  <w:style w:type="paragraph" w:styleId="5">
    <w:name w:val="heading 4"/>
    <w:basedOn w:val="4"/>
    <w:next w:val="1"/>
    <w:link w:val="132"/>
    <w:qFormat/>
    <w:uiPriority w:val="0"/>
    <w:pPr>
      <w:ind w:left="1418" w:hanging="1418"/>
      <w:outlineLvl w:val="3"/>
    </w:pPr>
    <w:rPr>
      <w:sz w:val="24"/>
    </w:rPr>
  </w:style>
  <w:style w:type="paragraph" w:styleId="6">
    <w:name w:val="heading 5"/>
    <w:basedOn w:val="1"/>
    <w:next w:val="1"/>
    <w:link w:val="141"/>
    <w:qFormat/>
    <w:uiPriority w:val="9"/>
    <w:pPr>
      <w:ind w:left="1701" w:hanging="1701"/>
      <w:outlineLvl w:val="4"/>
    </w:pPr>
    <w:rPr>
      <w:sz w:val="22"/>
    </w:rPr>
  </w:style>
  <w:style w:type="paragraph" w:styleId="7">
    <w:name w:val="heading 6"/>
    <w:basedOn w:val="1"/>
    <w:next w:val="1"/>
    <w:link w:val="153"/>
    <w:qFormat/>
    <w:uiPriority w:val="0"/>
    <w:pPr>
      <w:outlineLvl w:val="5"/>
    </w:pPr>
  </w:style>
  <w:style w:type="paragraph" w:styleId="8">
    <w:name w:val="heading 7"/>
    <w:basedOn w:val="9"/>
    <w:next w:val="1"/>
    <w:link w:val="154"/>
    <w:qFormat/>
    <w:uiPriority w:val="0"/>
    <w:pPr>
      <w:outlineLvl w:val="6"/>
    </w:pPr>
  </w:style>
  <w:style w:type="paragraph" w:styleId="10">
    <w:name w:val="heading 8"/>
    <w:basedOn w:val="2"/>
    <w:next w:val="1"/>
    <w:link w:val="155"/>
    <w:qFormat/>
    <w:uiPriority w:val="0"/>
    <w:pPr>
      <w:ind w:left="0" w:firstLine="0"/>
      <w:outlineLvl w:val="7"/>
    </w:pPr>
  </w:style>
  <w:style w:type="paragraph" w:styleId="11">
    <w:name w:val="heading 9"/>
    <w:basedOn w:val="10"/>
    <w:next w:val="1"/>
    <w:link w:val="156"/>
    <w:qFormat/>
    <w:uiPriority w:val="0"/>
    <w:pPr>
      <w:outlineLvl w:val="8"/>
    </w:pPr>
  </w:style>
  <w:style w:type="character" w:default="1" w:styleId="51">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9">
    <w:name w:val="H6"/>
    <w:basedOn w:val="6"/>
    <w:next w:val="1"/>
    <w:link w:val="127"/>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5"/>
    <w:qFormat/>
    <w:uiPriority w:val="0"/>
    <w:pPr>
      <w:spacing w:before="120" w:after="120"/>
    </w:pPr>
    <w:rPr>
      <w:b/>
    </w:rPr>
  </w:style>
  <w:style w:type="paragraph" w:styleId="29">
    <w:name w:val="Document Map"/>
    <w:basedOn w:val="1"/>
    <w:link w:val="157"/>
    <w:semiHidden/>
    <w:qFormat/>
    <w:uiPriority w:val="0"/>
    <w:pPr>
      <w:shd w:val="clear" w:color="auto" w:fill="000080"/>
    </w:pPr>
    <w:rPr>
      <w:rFonts w:ascii="Tahoma" w:hAnsi="Tahoma"/>
    </w:rPr>
  </w:style>
  <w:style w:type="paragraph" w:styleId="30">
    <w:name w:val="annotation text"/>
    <w:basedOn w:val="1"/>
    <w:link w:val="117"/>
    <w:qFormat/>
    <w:uiPriority w:val="99"/>
  </w:style>
  <w:style w:type="paragraph" w:styleId="31">
    <w:name w:val="Body Text"/>
    <w:basedOn w:val="1"/>
    <w:link w:val="145"/>
    <w:qFormat/>
    <w:uiPriority w:val="0"/>
  </w:style>
  <w:style w:type="paragraph" w:styleId="32">
    <w:name w:val="Body Text Indent"/>
    <w:basedOn w:val="1"/>
    <w:link w:val="121"/>
    <w:qFormat/>
    <w:uiPriority w:val="0"/>
    <w:pPr>
      <w:spacing w:after="120"/>
      <w:ind w:left="283"/>
    </w:pPr>
  </w:style>
  <w:style w:type="paragraph" w:styleId="33">
    <w:name w:val="Plain Text"/>
    <w:basedOn w:val="1"/>
    <w:link w:val="103"/>
    <w:qFormat/>
    <w:uiPriority w:val="99"/>
    <w:rPr>
      <w:rFonts w:ascii="Courier New" w:hAnsi="Courier New"/>
      <w:lang w:val="nb-NO"/>
    </w:rPr>
  </w:style>
  <w:style w:type="paragraph" w:styleId="34">
    <w:name w:val="List Bullet 5"/>
    <w:basedOn w:val="24"/>
    <w:qFormat/>
    <w:uiPriority w:val="0"/>
    <w:pPr>
      <w:ind w:left="1702"/>
    </w:pPr>
  </w:style>
  <w:style w:type="paragraph" w:styleId="35">
    <w:name w:val="toc 8"/>
    <w:basedOn w:val="21"/>
    <w:next w:val="1"/>
    <w:qFormat/>
    <w:uiPriority w:val="0"/>
    <w:pPr>
      <w:spacing w:before="180"/>
      <w:ind w:left="2693" w:hanging="2693"/>
    </w:pPr>
    <w:rPr>
      <w:b/>
    </w:rPr>
  </w:style>
  <w:style w:type="paragraph" w:styleId="36">
    <w:name w:val="Balloon Text"/>
    <w:basedOn w:val="1"/>
    <w:link w:val="115"/>
    <w:qFormat/>
    <w:uiPriority w:val="0"/>
    <w:pPr>
      <w:spacing w:after="0"/>
    </w:pPr>
    <w:rPr>
      <w:rFonts w:ascii="Tahoma" w:hAnsi="Tahoma"/>
      <w:sz w:val="16"/>
      <w:szCs w:val="16"/>
    </w:rPr>
  </w:style>
  <w:style w:type="paragraph" w:styleId="37">
    <w:name w:val="footer"/>
    <w:basedOn w:val="38"/>
    <w:link w:val="143"/>
    <w:qFormat/>
    <w:uiPriority w:val="0"/>
    <w:pPr>
      <w:jc w:val="center"/>
    </w:pPr>
    <w:rPr>
      <w:i/>
    </w:rPr>
  </w:style>
  <w:style w:type="paragraph" w:styleId="38">
    <w:name w:val="header"/>
    <w:link w:val="129"/>
    <w:qFormat/>
    <w:uiPriority w:val="99"/>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04"/>
    <w:semiHidden/>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oc 9"/>
    <w:basedOn w:val="35"/>
    <w:next w:val="1"/>
    <w:qFormat/>
    <w:uiPriority w:val="0"/>
    <w:pPr>
      <w:ind w:left="1418" w:hanging="1418"/>
    </w:pPr>
  </w:style>
  <w:style w:type="paragraph" w:styleId="44">
    <w:name w:val="Normal (Web)"/>
    <w:basedOn w:val="1"/>
    <w:unhideWhenUsed/>
    <w:qFormat/>
    <w:uiPriority w:val="99"/>
    <w:pPr>
      <w:spacing w:before="100" w:beforeAutospacing="1" w:after="100" w:afterAutospacing="1"/>
    </w:pPr>
    <w:rPr>
      <w:rFonts w:ascii="SimSun" w:hAnsi="SimSun" w:eastAsia="SimSun" w:cs="SimSun"/>
      <w:sz w:val="24"/>
      <w:szCs w:val="24"/>
      <w:lang w:val="en-US" w:eastAsia="zh-CN"/>
    </w:rPr>
  </w:style>
  <w:style w:type="paragraph" w:styleId="45">
    <w:name w:val="index 1"/>
    <w:basedOn w:val="1"/>
    <w:next w:val="1"/>
    <w:semiHidden/>
    <w:qFormat/>
    <w:uiPriority w:val="0"/>
    <w:pPr>
      <w:keepLines/>
      <w:spacing w:after="0"/>
    </w:pPr>
  </w:style>
  <w:style w:type="paragraph" w:styleId="46">
    <w:name w:val="index 2"/>
    <w:basedOn w:val="45"/>
    <w:next w:val="1"/>
    <w:semiHidden/>
    <w:qFormat/>
    <w:uiPriority w:val="0"/>
    <w:pPr>
      <w:ind w:left="284"/>
    </w:pPr>
  </w:style>
  <w:style w:type="paragraph" w:styleId="47">
    <w:name w:val="Title"/>
    <w:basedOn w:val="1"/>
    <w:next w:val="1"/>
    <w:link w:val="128"/>
    <w:qFormat/>
    <w:uiPriority w:val="0"/>
    <w:pPr>
      <w:spacing w:before="240" w:after="60"/>
      <w:jc w:val="center"/>
      <w:outlineLvl w:val="0"/>
    </w:pPr>
    <w:rPr>
      <w:rFonts w:ascii="Calibri Light" w:hAnsi="Calibri Light"/>
      <w:b/>
      <w:bCs/>
      <w:kern w:val="28"/>
      <w:sz w:val="32"/>
      <w:szCs w:val="32"/>
    </w:rPr>
  </w:style>
  <w:style w:type="paragraph" w:styleId="48">
    <w:name w:val="annotation subject"/>
    <w:basedOn w:val="30"/>
    <w:next w:val="30"/>
    <w:link w:val="118"/>
    <w:qFormat/>
    <w:uiPriority w:val="0"/>
    <w:rPr>
      <w:b/>
      <w:bCs/>
    </w:rPr>
  </w:style>
  <w:style w:type="table" w:styleId="50">
    <w:name w:val="Table Grid"/>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basedOn w:val="51"/>
    <w:qFormat/>
    <w:uiPriority w:val="0"/>
    <w:rPr>
      <w:b/>
      <w:bCs/>
    </w:rPr>
  </w:style>
  <w:style w:type="character" w:styleId="53">
    <w:name w:val="page number"/>
    <w:basedOn w:val="51"/>
    <w:qFormat/>
    <w:uiPriority w:val="0"/>
  </w:style>
  <w:style w:type="character" w:styleId="54">
    <w:name w:val="Emphasis"/>
    <w:qFormat/>
    <w:uiPriority w:val="0"/>
    <w:rPr>
      <w:i/>
      <w:iCs/>
    </w:rPr>
  </w:style>
  <w:style w:type="character" w:styleId="55">
    <w:name w:val="Hyperlink"/>
    <w:qFormat/>
    <w:uiPriority w:val="99"/>
    <w:rPr>
      <w:color w:val="0000FF"/>
      <w:u w:val="single"/>
    </w:rPr>
  </w:style>
  <w:style w:type="character" w:styleId="56">
    <w:name w:val="annotation reference"/>
    <w:qFormat/>
    <w:uiPriority w:val="99"/>
    <w:rPr>
      <w:sz w:val="16"/>
    </w:rPr>
  </w:style>
  <w:style w:type="character" w:styleId="57">
    <w:name w:val="footnote reference"/>
    <w:basedOn w:val="51"/>
    <w:semiHidden/>
    <w:qFormat/>
    <w:uiPriority w:val="0"/>
    <w:rPr>
      <w:b/>
      <w:position w:val="6"/>
      <w:sz w:val="16"/>
    </w:rPr>
  </w:style>
  <w:style w:type="paragraph" w:customStyle="1" w:styleId="58">
    <w:name w:val="EQ"/>
    <w:basedOn w:val="1"/>
    <w:next w:val="1"/>
    <w:link w:val="136"/>
    <w:qFormat/>
    <w:uiPriority w:val="0"/>
    <w:pPr>
      <w:keepLines/>
      <w:tabs>
        <w:tab w:val="center" w:pos="4536"/>
        <w:tab w:val="right" w:pos="9072"/>
      </w:tabs>
    </w:pPr>
  </w:style>
  <w:style w:type="character" w:customStyle="1" w:styleId="59">
    <w:name w:val="ZGSM"/>
    <w:qFormat/>
    <w:uiPriority w:val="0"/>
  </w:style>
  <w:style w:type="paragraph" w:customStyle="1" w:styleId="60">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61">
    <w:name w:val="TT"/>
    <w:basedOn w:val="2"/>
    <w:next w:val="1"/>
    <w:qFormat/>
    <w:uiPriority w:val="0"/>
    <w:pPr>
      <w:outlineLvl w:val="9"/>
    </w:pPr>
  </w:style>
  <w:style w:type="paragraph" w:customStyle="1" w:styleId="62">
    <w:name w:val="NF"/>
    <w:basedOn w:val="63"/>
    <w:qFormat/>
    <w:uiPriority w:val="0"/>
    <w:pPr>
      <w:keepNext/>
      <w:spacing w:after="0"/>
    </w:pPr>
    <w:rPr>
      <w:rFonts w:ascii="Arial" w:hAnsi="Arial"/>
      <w:sz w:val="18"/>
    </w:rPr>
  </w:style>
  <w:style w:type="paragraph" w:customStyle="1" w:styleId="63">
    <w:name w:val="NO"/>
    <w:basedOn w:val="1"/>
    <w:link w:val="137"/>
    <w:qFormat/>
    <w:uiPriority w:val="0"/>
    <w:pPr>
      <w:keepLines/>
      <w:ind w:left="1135" w:hanging="851"/>
    </w:p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5">
    <w:name w:val="TAR"/>
    <w:basedOn w:val="66"/>
    <w:qFormat/>
    <w:uiPriority w:val="0"/>
    <w:pPr>
      <w:jc w:val="right"/>
    </w:pPr>
  </w:style>
  <w:style w:type="paragraph" w:customStyle="1" w:styleId="66">
    <w:name w:val="TAL"/>
    <w:basedOn w:val="1"/>
    <w:link w:val="109"/>
    <w:qFormat/>
    <w:uiPriority w:val="0"/>
    <w:pPr>
      <w:keepNext/>
      <w:keepLines/>
      <w:spacing w:after="0"/>
    </w:pPr>
    <w:rPr>
      <w:rFonts w:ascii="Arial" w:hAnsi="Arial"/>
      <w:sz w:val="18"/>
    </w:rPr>
  </w:style>
  <w:style w:type="paragraph" w:customStyle="1" w:styleId="67">
    <w:name w:val="TAH"/>
    <w:basedOn w:val="68"/>
    <w:link w:val="102"/>
    <w:qFormat/>
    <w:uiPriority w:val="0"/>
    <w:rPr>
      <w:b/>
    </w:rPr>
  </w:style>
  <w:style w:type="paragraph" w:customStyle="1" w:styleId="68">
    <w:name w:val="TAC"/>
    <w:basedOn w:val="66"/>
    <w:link w:val="101"/>
    <w:qFormat/>
    <w:uiPriority w:val="0"/>
    <w:pPr>
      <w:jc w:val="center"/>
    </w:pPr>
  </w:style>
  <w:style w:type="paragraph" w:customStyle="1" w:styleId="6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70">
    <w:name w:val="EX"/>
    <w:basedOn w:val="1"/>
    <w:qFormat/>
    <w:uiPriority w:val="0"/>
    <w:pPr>
      <w:keepLines/>
      <w:ind w:left="1702" w:hanging="1418"/>
    </w:pPr>
  </w:style>
  <w:style w:type="paragraph" w:customStyle="1" w:styleId="71">
    <w:name w:val="FP"/>
    <w:basedOn w:val="1"/>
    <w:qFormat/>
    <w:uiPriority w:val="0"/>
    <w:pPr>
      <w:spacing w:after="0"/>
    </w:pPr>
  </w:style>
  <w:style w:type="paragraph" w:customStyle="1" w:styleId="72">
    <w:name w:val="NW"/>
    <w:basedOn w:val="63"/>
    <w:qFormat/>
    <w:uiPriority w:val="0"/>
    <w:pPr>
      <w:spacing w:after="0"/>
    </w:pPr>
  </w:style>
  <w:style w:type="paragraph" w:customStyle="1" w:styleId="73">
    <w:name w:val="EW"/>
    <w:basedOn w:val="70"/>
    <w:qFormat/>
    <w:uiPriority w:val="0"/>
    <w:pPr>
      <w:spacing w:after="0"/>
    </w:pPr>
  </w:style>
  <w:style w:type="paragraph" w:customStyle="1" w:styleId="74">
    <w:name w:val="B1"/>
    <w:basedOn w:val="14"/>
    <w:link w:val="122"/>
    <w:qFormat/>
    <w:uiPriority w:val="0"/>
  </w:style>
  <w:style w:type="paragraph" w:customStyle="1" w:styleId="75">
    <w:name w:val="Editor's Note"/>
    <w:basedOn w:val="63"/>
    <w:qFormat/>
    <w:uiPriority w:val="0"/>
    <w:rPr>
      <w:color w:val="FF0000"/>
    </w:rPr>
  </w:style>
  <w:style w:type="paragraph" w:customStyle="1" w:styleId="76">
    <w:name w:val="TH"/>
    <w:basedOn w:val="1"/>
    <w:link w:val="110"/>
    <w:qFormat/>
    <w:uiPriority w:val="0"/>
    <w:pPr>
      <w:keepNext/>
      <w:keepLines/>
      <w:spacing w:before="60"/>
      <w:jc w:val="center"/>
    </w:pPr>
    <w:rPr>
      <w:rFonts w:ascii="Arial" w:hAnsi="Arial"/>
      <w:b/>
    </w:rPr>
  </w:style>
  <w:style w:type="paragraph" w:customStyle="1" w:styleId="7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8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TAN"/>
    <w:basedOn w:val="66"/>
    <w:link w:val="111"/>
    <w:qFormat/>
    <w:uiPriority w:val="0"/>
    <w:pPr>
      <w:ind w:left="851" w:hanging="851"/>
    </w:pPr>
  </w:style>
  <w:style w:type="paragraph" w:customStyle="1" w:styleId="82">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83">
    <w:name w:val="TF"/>
    <w:basedOn w:val="76"/>
    <w:qFormat/>
    <w:uiPriority w:val="0"/>
    <w:pPr>
      <w:keepNext w:val="0"/>
      <w:spacing w:before="0" w:after="240"/>
    </w:pPr>
  </w:style>
  <w:style w:type="paragraph" w:customStyle="1" w:styleId="84">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5">
    <w:name w:val="B2"/>
    <w:basedOn w:val="13"/>
    <w:link w:val="116"/>
    <w:qFormat/>
    <w:uiPriority w:val="0"/>
  </w:style>
  <w:style w:type="paragraph" w:customStyle="1" w:styleId="86">
    <w:name w:val="B3"/>
    <w:basedOn w:val="12"/>
    <w:qFormat/>
    <w:uiPriority w:val="0"/>
  </w:style>
  <w:style w:type="paragraph" w:customStyle="1" w:styleId="87">
    <w:name w:val="B4"/>
    <w:basedOn w:val="42"/>
    <w:qFormat/>
    <w:uiPriority w:val="0"/>
  </w:style>
  <w:style w:type="paragraph" w:customStyle="1" w:styleId="88">
    <w:name w:val="B5"/>
    <w:basedOn w:val="41"/>
    <w:qFormat/>
    <w:uiPriority w:val="0"/>
  </w:style>
  <w:style w:type="paragraph" w:customStyle="1" w:styleId="89">
    <w:name w:val="ZTD"/>
    <w:basedOn w:val="78"/>
    <w:qFormat/>
    <w:uiPriority w:val="0"/>
    <w:pPr>
      <w:framePr w:hRule="auto" w:y="852"/>
    </w:pPr>
    <w:rPr>
      <w:i w:val="0"/>
      <w:sz w:val="40"/>
    </w:rPr>
  </w:style>
  <w:style w:type="paragraph" w:customStyle="1" w:styleId="90">
    <w:name w:val="ZV"/>
    <w:basedOn w:val="80"/>
    <w:qFormat/>
    <w:uiPriority w:val="0"/>
    <w:pPr>
      <w:framePr w:y="16161"/>
    </w:pPr>
  </w:style>
  <w:style w:type="paragraph" w:customStyle="1" w:styleId="91">
    <w:name w:val="INDENT1"/>
    <w:basedOn w:val="1"/>
    <w:qFormat/>
    <w:uiPriority w:val="0"/>
    <w:pPr>
      <w:ind w:left="851"/>
    </w:pPr>
  </w:style>
  <w:style w:type="paragraph" w:customStyle="1" w:styleId="92">
    <w:name w:val="INDENT2"/>
    <w:basedOn w:val="1"/>
    <w:qFormat/>
    <w:uiPriority w:val="0"/>
    <w:pPr>
      <w:ind w:left="1135" w:hanging="284"/>
    </w:pPr>
  </w:style>
  <w:style w:type="paragraph" w:customStyle="1" w:styleId="93">
    <w:name w:val="INDENT3"/>
    <w:basedOn w:val="1"/>
    <w:qFormat/>
    <w:uiPriority w:val="0"/>
    <w:pPr>
      <w:ind w:left="1701" w:hanging="567"/>
    </w:pPr>
  </w:style>
  <w:style w:type="paragraph" w:customStyle="1" w:styleId="94">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5">
    <w:name w:val="Rec_CCITT_#"/>
    <w:basedOn w:val="1"/>
    <w:qFormat/>
    <w:uiPriority w:val="0"/>
    <w:pPr>
      <w:keepNext/>
      <w:keepLines/>
    </w:pPr>
    <w:rPr>
      <w:b/>
    </w:rPr>
  </w:style>
  <w:style w:type="paragraph" w:customStyle="1" w:styleId="96">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7">
    <w:name w:val="Couv Rec Title"/>
    <w:basedOn w:val="1"/>
    <w:qFormat/>
    <w:uiPriority w:val="0"/>
    <w:pPr>
      <w:keepNext/>
      <w:keepLines/>
      <w:spacing w:before="240"/>
      <w:ind w:left="1418"/>
    </w:pPr>
    <w:rPr>
      <w:rFonts w:ascii="Arial" w:hAnsi="Arial"/>
      <w:b/>
      <w:sz w:val="36"/>
      <w:lang w:val="en-US"/>
    </w:rPr>
  </w:style>
  <w:style w:type="character" w:customStyle="1" w:styleId="98">
    <w:name w:val="访问过的超链接1"/>
    <w:qFormat/>
    <w:uiPriority w:val="0"/>
    <w:rPr>
      <w:color w:val="800080"/>
      <w:u w:val="single"/>
    </w:rPr>
  </w:style>
  <w:style w:type="paragraph" w:customStyle="1" w:styleId="99">
    <w:name w:val="TAJ"/>
    <w:basedOn w:val="76"/>
    <w:qFormat/>
    <w:uiPriority w:val="0"/>
  </w:style>
  <w:style w:type="paragraph" w:customStyle="1" w:styleId="100">
    <w:name w:val="Guidance"/>
    <w:basedOn w:val="1"/>
    <w:link w:val="135"/>
    <w:qFormat/>
    <w:uiPriority w:val="0"/>
    <w:rPr>
      <w:i/>
      <w:color w:val="0000FF"/>
    </w:rPr>
  </w:style>
  <w:style w:type="character" w:customStyle="1" w:styleId="101">
    <w:name w:val="TAC Char"/>
    <w:link w:val="68"/>
    <w:qFormat/>
    <w:uiPriority w:val="0"/>
    <w:rPr>
      <w:rFonts w:ascii="Arial" w:hAnsi="Arial" w:eastAsia="Times New Roman"/>
      <w:sz w:val="18"/>
      <w:lang w:val="en-GB" w:eastAsia="en-GB"/>
    </w:rPr>
  </w:style>
  <w:style w:type="character" w:customStyle="1" w:styleId="102">
    <w:name w:val="TAH Car"/>
    <w:link w:val="67"/>
    <w:qFormat/>
    <w:uiPriority w:val="0"/>
    <w:rPr>
      <w:rFonts w:ascii="Arial" w:hAnsi="Arial" w:eastAsia="Times New Roman"/>
      <w:b/>
      <w:sz w:val="18"/>
      <w:lang w:val="en-GB" w:eastAsia="en-GB"/>
    </w:rPr>
  </w:style>
  <w:style w:type="character" w:customStyle="1" w:styleId="103">
    <w:name w:val="Plain Text Char"/>
    <w:link w:val="33"/>
    <w:qFormat/>
    <w:uiPriority w:val="99"/>
    <w:rPr>
      <w:rFonts w:ascii="Courier New" w:hAnsi="Courier New"/>
      <w:lang w:val="nb-NO"/>
    </w:rPr>
  </w:style>
  <w:style w:type="character" w:customStyle="1" w:styleId="104">
    <w:name w:val="Footnote Text Char"/>
    <w:link w:val="40"/>
    <w:semiHidden/>
    <w:qFormat/>
    <w:locked/>
    <w:uiPriority w:val="0"/>
    <w:rPr>
      <w:rFonts w:eastAsia="Times New Roman"/>
      <w:sz w:val="16"/>
      <w:lang w:val="en-GB" w:eastAsia="en-GB"/>
    </w:rPr>
  </w:style>
  <w:style w:type="paragraph" w:customStyle="1" w:styleId="105">
    <w:name w:val="Numbered List"/>
    <w:basedOn w:val="1"/>
    <w:qFormat/>
    <w:uiPriority w:val="99"/>
    <w:pPr>
      <w:numPr>
        <w:ilvl w:val="0"/>
        <w:numId w:val="1"/>
      </w:numPr>
      <w:tabs>
        <w:tab w:val="left" w:pos="360"/>
        <w:tab w:val="clear" w:pos="397"/>
      </w:tabs>
      <w:spacing w:after="240"/>
      <w:ind w:left="0" w:firstLine="0"/>
      <w:jc w:val="both"/>
    </w:pPr>
    <w:rPr>
      <w:rFonts w:ascii="Arial" w:hAnsi="Arial" w:eastAsia="Calibri"/>
      <w:szCs w:val="24"/>
      <w:lang w:eastAsia="zh-CN"/>
    </w:rPr>
  </w:style>
  <w:style w:type="paragraph" w:styleId="106">
    <w:name w:val="List Paragraph"/>
    <w:basedOn w:val="1"/>
    <w:link w:val="133"/>
    <w:qFormat/>
    <w:uiPriority w:val="34"/>
    <w:pPr>
      <w:spacing w:after="0"/>
      <w:ind w:left="720"/>
      <w:contextualSpacing/>
    </w:pPr>
    <w:rPr>
      <w:rFonts w:ascii="Helvetica 55 Roman" w:hAnsi="Helvetica 55 Roman" w:eastAsia="Calibri"/>
      <w:szCs w:val="24"/>
      <w:lang w:val="fr-FR" w:eastAsia="zh-CN"/>
    </w:rPr>
  </w:style>
  <w:style w:type="paragraph" w:customStyle="1" w:styleId="107">
    <w:name w:val="tah"/>
    <w:basedOn w:val="1"/>
    <w:semiHidden/>
    <w:qFormat/>
    <w:uiPriority w:val="99"/>
    <w:pPr>
      <w:spacing w:after="0"/>
      <w:jc w:val="center"/>
    </w:pPr>
    <w:rPr>
      <w:rFonts w:ascii="Arial" w:hAnsi="Arial" w:eastAsia="Calibri" w:cs="Arial"/>
      <w:b/>
      <w:bCs/>
      <w:sz w:val="18"/>
      <w:szCs w:val="18"/>
      <w:lang w:val="fr-FR" w:eastAsia="fr-FR"/>
    </w:rPr>
  </w:style>
  <w:style w:type="paragraph" w:customStyle="1" w:styleId="108">
    <w:name w:val="tac"/>
    <w:basedOn w:val="1"/>
    <w:semiHidden/>
    <w:qFormat/>
    <w:uiPriority w:val="99"/>
    <w:pPr>
      <w:spacing w:after="0"/>
      <w:jc w:val="center"/>
    </w:pPr>
    <w:rPr>
      <w:rFonts w:ascii="Arial" w:hAnsi="Arial" w:eastAsia="Calibri" w:cs="Arial"/>
      <w:sz w:val="18"/>
      <w:szCs w:val="18"/>
      <w:lang w:val="fr-FR" w:eastAsia="fr-FR"/>
    </w:rPr>
  </w:style>
  <w:style w:type="character" w:customStyle="1" w:styleId="109">
    <w:name w:val="TAL Char"/>
    <w:link w:val="66"/>
    <w:qFormat/>
    <w:uiPriority w:val="0"/>
    <w:rPr>
      <w:rFonts w:ascii="Arial" w:hAnsi="Arial" w:eastAsia="Times New Roman"/>
      <w:sz w:val="18"/>
      <w:lang w:val="en-GB" w:eastAsia="en-GB"/>
    </w:rPr>
  </w:style>
  <w:style w:type="character" w:customStyle="1" w:styleId="110">
    <w:name w:val="TH Char"/>
    <w:link w:val="76"/>
    <w:qFormat/>
    <w:uiPriority w:val="0"/>
    <w:rPr>
      <w:rFonts w:ascii="Arial" w:hAnsi="Arial" w:eastAsia="Times New Roman"/>
      <w:b/>
      <w:lang w:val="en-GB" w:eastAsia="en-GB"/>
    </w:rPr>
  </w:style>
  <w:style w:type="character" w:customStyle="1" w:styleId="111">
    <w:name w:val="TAN Char"/>
    <w:link w:val="81"/>
    <w:qFormat/>
    <w:uiPriority w:val="0"/>
    <w:rPr>
      <w:rFonts w:ascii="Arial" w:hAnsi="Arial" w:eastAsia="Times New Roman"/>
      <w:sz w:val="18"/>
      <w:lang w:val="en-GB" w:eastAsia="en-GB"/>
    </w:rPr>
  </w:style>
  <w:style w:type="paragraph" w:customStyle="1" w:styleId="112">
    <w:name w:val="ECC Paragraph"/>
    <w:basedOn w:val="1"/>
    <w:qFormat/>
    <w:uiPriority w:val="99"/>
    <w:pPr>
      <w:spacing w:after="240"/>
      <w:jc w:val="both"/>
    </w:pPr>
    <w:rPr>
      <w:rFonts w:ascii="Arial" w:hAnsi="Arial"/>
      <w:szCs w:val="24"/>
    </w:rPr>
  </w:style>
  <w:style w:type="paragraph" w:customStyle="1" w:styleId="113">
    <w:name w:val="ECC Table title"/>
    <w:basedOn w:val="1"/>
    <w:next w:val="112"/>
    <w:qFormat/>
    <w:uiPriority w:val="0"/>
    <w:pPr>
      <w:spacing w:before="360" w:after="240"/>
      <w:jc w:val="center"/>
    </w:pPr>
    <w:rPr>
      <w:b/>
      <w:szCs w:val="24"/>
    </w:rPr>
  </w:style>
  <w:style w:type="character" w:customStyle="1" w:styleId="114">
    <w:name w:val="TAL Car"/>
    <w:qFormat/>
    <w:uiPriority w:val="0"/>
    <w:rPr>
      <w:rFonts w:ascii="Arial" w:hAnsi="Arial"/>
      <w:sz w:val="18"/>
      <w:lang w:val="en-GB"/>
    </w:rPr>
  </w:style>
  <w:style w:type="character" w:customStyle="1" w:styleId="115">
    <w:name w:val="Balloon Text Char"/>
    <w:link w:val="36"/>
    <w:qFormat/>
    <w:uiPriority w:val="0"/>
    <w:rPr>
      <w:rFonts w:ascii="Tahoma" w:hAnsi="Tahoma" w:cs="Tahoma"/>
      <w:sz w:val="16"/>
      <w:szCs w:val="16"/>
      <w:lang w:val="en-GB" w:eastAsia="en-US"/>
    </w:rPr>
  </w:style>
  <w:style w:type="character" w:customStyle="1" w:styleId="116">
    <w:name w:val="B2 Char"/>
    <w:link w:val="85"/>
    <w:qFormat/>
    <w:locked/>
    <w:uiPriority w:val="0"/>
    <w:rPr>
      <w:rFonts w:eastAsia="Times New Roman"/>
      <w:lang w:val="en-GB" w:eastAsia="en-GB"/>
    </w:rPr>
  </w:style>
  <w:style w:type="character" w:customStyle="1" w:styleId="117">
    <w:name w:val="Comment Text Char"/>
    <w:link w:val="30"/>
    <w:qFormat/>
    <w:uiPriority w:val="99"/>
    <w:rPr>
      <w:lang w:val="en-GB" w:eastAsia="en-US"/>
    </w:rPr>
  </w:style>
  <w:style w:type="character" w:customStyle="1" w:styleId="118">
    <w:name w:val="Comment Subject Char"/>
    <w:link w:val="48"/>
    <w:qFormat/>
    <w:uiPriority w:val="0"/>
    <w:rPr>
      <w:b/>
      <w:bCs/>
      <w:lang w:val="en-GB" w:eastAsia="en-US"/>
    </w:rPr>
  </w:style>
  <w:style w:type="paragraph" w:customStyle="1" w:styleId="119">
    <w:name w:val="Revision1"/>
    <w:hidden/>
    <w:semiHidden/>
    <w:qFormat/>
    <w:uiPriority w:val="99"/>
    <w:rPr>
      <w:rFonts w:ascii="Times New Roman" w:hAnsi="Times New Roman" w:eastAsia="等线" w:cs="Times New Roman"/>
      <w:lang w:val="en-GB" w:eastAsia="en-US" w:bidi="ar-SA"/>
    </w:rPr>
  </w:style>
  <w:style w:type="paragraph" w:customStyle="1" w:styleId="120">
    <w:name w:val="TableText"/>
    <w:basedOn w:val="32"/>
    <w:qFormat/>
    <w:uiPriority w:val="0"/>
    <w:pPr>
      <w:keepNext/>
      <w:keepLines/>
      <w:spacing w:after="180"/>
      <w:ind w:left="0"/>
      <w:jc w:val="center"/>
    </w:pPr>
    <w:rPr>
      <w:snapToGrid w:val="0"/>
      <w:kern w:val="2"/>
    </w:rPr>
  </w:style>
  <w:style w:type="character" w:customStyle="1" w:styleId="121">
    <w:name w:val="Body Text Indent Char"/>
    <w:link w:val="32"/>
    <w:qFormat/>
    <w:uiPriority w:val="0"/>
    <w:rPr>
      <w:lang w:val="en-GB"/>
    </w:rPr>
  </w:style>
  <w:style w:type="character" w:customStyle="1" w:styleId="122">
    <w:name w:val="B1 Char"/>
    <w:link w:val="74"/>
    <w:qFormat/>
    <w:uiPriority w:val="0"/>
    <w:rPr>
      <w:rFonts w:eastAsia="Times New Roman"/>
      <w:lang w:val="en-GB" w:eastAsia="en-GB"/>
    </w:rPr>
  </w:style>
  <w:style w:type="paragraph" w:customStyle="1" w:styleId="123">
    <w:name w:val="Default"/>
    <w:qFormat/>
    <w:uiPriority w:val="0"/>
    <w:pPr>
      <w:autoSpaceDE w:val="0"/>
      <w:autoSpaceDN w:val="0"/>
      <w:adjustRightInd w:val="0"/>
    </w:pPr>
    <w:rPr>
      <w:rFonts w:ascii="Times New Roman" w:hAnsi="Times New Roman" w:eastAsia="Calibri" w:cs="Times New Roman"/>
      <w:color w:val="000000"/>
      <w:sz w:val="24"/>
      <w:szCs w:val="24"/>
      <w:lang w:val="en-US" w:eastAsia="en-US" w:bidi="ar-SA"/>
    </w:rPr>
  </w:style>
  <w:style w:type="character" w:customStyle="1" w:styleId="124">
    <w:name w:val="TAC Car"/>
    <w:qFormat/>
    <w:uiPriority w:val="0"/>
  </w:style>
  <w:style w:type="character" w:customStyle="1" w:styleId="125">
    <w:name w:val="Caption Char"/>
    <w:link w:val="28"/>
    <w:qFormat/>
    <w:uiPriority w:val="0"/>
    <w:rPr>
      <w:b/>
      <w:lang w:val="en-GB"/>
    </w:rPr>
  </w:style>
  <w:style w:type="character" w:customStyle="1" w:styleId="126">
    <w:name w:val="st"/>
    <w:qFormat/>
    <w:uiPriority w:val="0"/>
  </w:style>
  <w:style w:type="character" w:customStyle="1" w:styleId="127">
    <w:name w:val="H6 Char"/>
    <w:link w:val="9"/>
    <w:qFormat/>
    <w:uiPriority w:val="0"/>
    <w:rPr>
      <w:rFonts w:ascii="Arial" w:hAnsi="Arial" w:eastAsia="Times New Roman"/>
      <w:lang w:val="en-GB" w:eastAsia="en-GB"/>
    </w:rPr>
  </w:style>
  <w:style w:type="character" w:customStyle="1" w:styleId="128">
    <w:name w:val="Title Char"/>
    <w:link w:val="47"/>
    <w:qFormat/>
    <w:uiPriority w:val="0"/>
    <w:rPr>
      <w:rFonts w:ascii="Calibri Light" w:hAnsi="Calibri Light" w:eastAsia="Times New Roman" w:cs="Times New Roman"/>
      <w:b/>
      <w:bCs/>
      <w:kern w:val="28"/>
      <w:sz w:val="32"/>
      <w:szCs w:val="32"/>
      <w:lang w:val="en-GB"/>
    </w:rPr>
  </w:style>
  <w:style w:type="character" w:customStyle="1" w:styleId="129">
    <w:name w:val="Header Char"/>
    <w:basedOn w:val="51"/>
    <w:link w:val="38"/>
    <w:qFormat/>
    <w:locked/>
    <w:uiPriority w:val="99"/>
    <w:rPr>
      <w:rFonts w:ascii="Arial" w:hAnsi="Arial" w:eastAsia="Times New Roman"/>
      <w:b/>
      <w:sz w:val="18"/>
      <w:lang w:val="en-GB" w:eastAsia="en-GB"/>
    </w:rPr>
  </w:style>
  <w:style w:type="character" w:customStyle="1" w:styleId="130">
    <w:name w:val="Heading 2 Char"/>
    <w:basedOn w:val="51"/>
    <w:link w:val="3"/>
    <w:qFormat/>
    <w:uiPriority w:val="0"/>
    <w:rPr>
      <w:rFonts w:ascii="Arial" w:hAnsi="Arial" w:eastAsia="Times New Roman"/>
      <w:sz w:val="32"/>
      <w:lang w:val="en-GB" w:eastAsia="en-GB"/>
    </w:rPr>
  </w:style>
  <w:style w:type="character" w:customStyle="1" w:styleId="131">
    <w:name w:val="Heading 3 Char"/>
    <w:basedOn w:val="51"/>
    <w:link w:val="4"/>
    <w:qFormat/>
    <w:uiPriority w:val="9"/>
    <w:rPr>
      <w:rFonts w:ascii="Arial" w:hAnsi="Arial" w:eastAsia="Times New Roman"/>
      <w:sz w:val="28"/>
      <w:lang w:val="en-GB" w:eastAsia="en-GB"/>
    </w:rPr>
  </w:style>
  <w:style w:type="character" w:customStyle="1" w:styleId="132">
    <w:name w:val="Heading 4 Char"/>
    <w:basedOn w:val="51"/>
    <w:link w:val="5"/>
    <w:qFormat/>
    <w:uiPriority w:val="0"/>
    <w:rPr>
      <w:rFonts w:ascii="Arial" w:hAnsi="Arial" w:eastAsia="Times New Roman"/>
      <w:sz w:val="24"/>
      <w:lang w:val="en-GB" w:eastAsia="en-GB"/>
    </w:rPr>
  </w:style>
  <w:style w:type="character" w:customStyle="1" w:styleId="133">
    <w:name w:val="List Paragraph Char"/>
    <w:link w:val="106"/>
    <w:qFormat/>
    <w:uiPriority w:val="34"/>
    <w:rPr>
      <w:rFonts w:ascii="Helvetica 55 Roman" w:hAnsi="Helvetica 55 Roman" w:eastAsia="Calibri"/>
      <w:szCs w:val="24"/>
      <w:lang w:val="fr-FR"/>
    </w:rPr>
  </w:style>
  <w:style w:type="paragraph" w:customStyle="1" w:styleId="134">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135">
    <w:name w:val="Guidance Char"/>
    <w:link w:val="100"/>
    <w:qFormat/>
    <w:uiPriority w:val="0"/>
    <w:rPr>
      <w:i/>
      <w:color w:val="0000FF"/>
      <w:lang w:val="en-GB" w:eastAsia="en-US"/>
    </w:rPr>
  </w:style>
  <w:style w:type="character" w:customStyle="1" w:styleId="136">
    <w:name w:val="EQ Char"/>
    <w:link w:val="58"/>
    <w:qFormat/>
    <w:locked/>
    <w:uiPriority w:val="0"/>
    <w:rPr>
      <w:rFonts w:eastAsia="Times New Roman"/>
      <w:lang w:val="en-GB" w:eastAsia="en-GB"/>
    </w:rPr>
  </w:style>
  <w:style w:type="character" w:customStyle="1" w:styleId="137">
    <w:name w:val="NO Char"/>
    <w:link w:val="63"/>
    <w:qFormat/>
    <w:uiPriority w:val="0"/>
    <w:rPr>
      <w:rFonts w:eastAsia="Times New Roman"/>
      <w:lang w:val="en-GB" w:eastAsia="en-GB"/>
    </w:rPr>
  </w:style>
  <w:style w:type="table" w:customStyle="1" w:styleId="138">
    <w:name w:val="Table Grid25"/>
    <w:basedOn w:val="49"/>
    <w:qFormat/>
    <w:uiPriority w:val="0"/>
    <w:pPr>
      <w:overflowPunct w:val="0"/>
      <w:autoSpaceDE w:val="0"/>
      <w:autoSpaceDN w:val="0"/>
      <w:adjustRightInd w:val="0"/>
      <w:spacing w:after="180"/>
      <w:textAlignment w:val="baseline"/>
    </w:pPr>
    <w:rPr>
      <w:rFonts w:eastAsia="SimSu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
    <w:name w:val="网格型1"/>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0">
    <w:name w:val="Heading 1 Char"/>
    <w:basedOn w:val="51"/>
    <w:link w:val="2"/>
    <w:qFormat/>
    <w:uiPriority w:val="0"/>
    <w:rPr>
      <w:rFonts w:ascii="Arial" w:hAnsi="Arial" w:eastAsia="Times New Roman"/>
      <w:sz w:val="36"/>
      <w:lang w:val="en-GB" w:eastAsia="en-GB"/>
    </w:rPr>
  </w:style>
  <w:style w:type="character" w:customStyle="1" w:styleId="141">
    <w:name w:val="Heading 5 Char"/>
    <w:basedOn w:val="51"/>
    <w:link w:val="6"/>
    <w:qFormat/>
    <w:uiPriority w:val="9"/>
    <w:rPr>
      <w:rFonts w:ascii="Arial" w:hAnsi="Arial" w:eastAsia="Times New Roman"/>
      <w:sz w:val="22"/>
      <w:lang w:val="en-GB" w:eastAsia="en-GB"/>
    </w:rPr>
  </w:style>
  <w:style w:type="paragraph" w:customStyle="1" w:styleId="142">
    <w:name w:val="3GPP_Header"/>
    <w:basedOn w:val="31"/>
    <w:qFormat/>
    <w:uiPriority w:val="0"/>
    <w:pPr>
      <w:tabs>
        <w:tab w:val="left" w:pos="1701"/>
        <w:tab w:val="right" w:pos="9639"/>
      </w:tabs>
      <w:overflowPunct/>
      <w:autoSpaceDE/>
      <w:autoSpaceDN/>
      <w:adjustRightInd/>
      <w:spacing w:after="240" w:line="259" w:lineRule="auto"/>
      <w:jc w:val="both"/>
      <w:textAlignment w:val="auto"/>
    </w:pPr>
    <w:rPr>
      <w:rFonts w:ascii="Arial" w:hAnsi="Arial" w:eastAsia="等线"/>
      <w:b/>
      <w:sz w:val="24"/>
      <w:szCs w:val="22"/>
      <w:lang w:val="en-US" w:eastAsia="zh-CN"/>
    </w:rPr>
  </w:style>
  <w:style w:type="character" w:customStyle="1" w:styleId="143">
    <w:name w:val="Footer Char"/>
    <w:basedOn w:val="51"/>
    <w:link w:val="37"/>
    <w:qFormat/>
    <w:uiPriority w:val="0"/>
    <w:rPr>
      <w:rFonts w:ascii="Arial" w:hAnsi="Arial" w:eastAsia="Times New Roman"/>
      <w:b/>
      <w:i/>
      <w:sz w:val="18"/>
      <w:lang w:val="en-GB" w:eastAsia="en-GB"/>
    </w:rPr>
  </w:style>
  <w:style w:type="paragraph" w:customStyle="1" w:styleId="144">
    <w:name w:val="Reference"/>
    <w:basedOn w:val="31"/>
    <w:qFormat/>
    <w:uiPriority w:val="0"/>
    <w:pPr>
      <w:numPr>
        <w:ilvl w:val="0"/>
        <w:numId w:val="2"/>
      </w:numPr>
      <w:tabs>
        <w:tab w:val="clear" w:pos="567"/>
      </w:tabs>
      <w:overflowPunct/>
      <w:autoSpaceDE/>
      <w:autoSpaceDN/>
      <w:adjustRightInd/>
      <w:spacing w:after="120" w:line="259" w:lineRule="auto"/>
      <w:ind w:left="360" w:hanging="360"/>
      <w:jc w:val="both"/>
      <w:textAlignment w:val="auto"/>
    </w:pPr>
    <w:rPr>
      <w:rFonts w:ascii="Arial" w:hAnsi="Arial" w:eastAsia="等线"/>
      <w:szCs w:val="22"/>
      <w:lang w:val="en-US" w:eastAsia="zh-CN"/>
    </w:rPr>
  </w:style>
  <w:style w:type="character" w:customStyle="1" w:styleId="145">
    <w:name w:val="Body Text Char"/>
    <w:basedOn w:val="51"/>
    <w:link w:val="31"/>
    <w:qFormat/>
    <w:uiPriority w:val="0"/>
    <w:rPr>
      <w:rFonts w:eastAsia="Times New Roman"/>
      <w:lang w:val="en-GB" w:eastAsia="en-GB"/>
    </w:rPr>
  </w:style>
  <w:style w:type="paragraph" w:customStyle="1" w:styleId="146">
    <w:name w:val="Proposal"/>
    <w:basedOn w:val="31"/>
    <w:qFormat/>
    <w:uiPriority w:val="0"/>
    <w:pPr>
      <w:numPr>
        <w:ilvl w:val="0"/>
        <w:numId w:val="3"/>
      </w:numPr>
      <w:tabs>
        <w:tab w:val="left" w:pos="1701"/>
        <w:tab w:val="clear" w:pos="1304"/>
      </w:tabs>
      <w:overflowPunct/>
      <w:autoSpaceDE/>
      <w:autoSpaceDN/>
      <w:adjustRightInd/>
      <w:spacing w:after="120" w:line="259" w:lineRule="auto"/>
      <w:ind w:left="1701" w:hanging="1701"/>
      <w:jc w:val="both"/>
      <w:textAlignment w:val="auto"/>
    </w:pPr>
    <w:rPr>
      <w:rFonts w:ascii="Arial" w:hAnsi="Arial" w:eastAsia="等线"/>
      <w:b/>
      <w:bCs/>
      <w:szCs w:val="22"/>
      <w:lang w:val="en-US" w:eastAsia="zh-CN"/>
    </w:rPr>
  </w:style>
  <w:style w:type="paragraph" w:customStyle="1" w:styleId="147">
    <w:name w:val="Observation"/>
    <w:basedOn w:val="146"/>
    <w:qFormat/>
    <w:uiPriority w:val="0"/>
    <w:pPr>
      <w:numPr>
        <w:ilvl w:val="0"/>
        <w:numId w:val="4"/>
      </w:numPr>
      <w:tabs>
        <w:tab w:val="left" w:pos="360"/>
      </w:tabs>
      <w:ind w:left="1701" w:hanging="1701"/>
    </w:pPr>
    <w:rPr>
      <w:lang w:eastAsia="ja-JP"/>
    </w:rPr>
  </w:style>
  <w:style w:type="paragraph" w:customStyle="1" w:styleId="148">
    <w:name w:val="Table of Figures1"/>
    <w:basedOn w:val="31"/>
    <w:next w:val="1"/>
    <w:qFormat/>
    <w:uiPriority w:val="99"/>
    <w:pPr>
      <w:overflowPunct/>
      <w:autoSpaceDE/>
      <w:autoSpaceDN/>
      <w:adjustRightInd/>
      <w:spacing w:after="120" w:line="259" w:lineRule="auto"/>
      <w:ind w:left="1701" w:hanging="1701"/>
      <w:textAlignment w:val="auto"/>
    </w:pPr>
    <w:rPr>
      <w:rFonts w:ascii="Arial" w:hAnsi="Arial" w:eastAsia="等线"/>
      <w:b/>
      <w:szCs w:val="22"/>
      <w:lang w:val="en-US" w:eastAsia="zh-CN"/>
    </w:rPr>
  </w:style>
  <w:style w:type="paragraph" w:customStyle="1" w:styleId="149">
    <w:name w:val="No Spacing1"/>
    <w:next w:val="150"/>
    <w:qFormat/>
    <w:uiPriority w:val="1"/>
    <w:rPr>
      <w:rFonts w:ascii="Arial" w:hAnsi="Arial" w:eastAsia="等线" w:cs="Times New Roman"/>
      <w:szCs w:val="22"/>
      <w:lang w:val="en-US" w:eastAsia="en-US" w:bidi="ar-SA"/>
    </w:rPr>
  </w:style>
  <w:style w:type="paragraph" w:styleId="150">
    <w:name w:val="No Spacing"/>
    <w:qFormat/>
    <w:uiPriority w:val="1"/>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character" w:customStyle="1" w:styleId="151">
    <w:name w:val="Mention1"/>
    <w:basedOn w:val="51"/>
    <w:unhideWhenUsed/>
    <w:qFormat/>
    <w:uiPriority w:val="99"/>
    <w:rPr>
      <w:color w:val="2B579A"/>
      <w:shd w:val="clear" w:color="auto" w:fill="E1DFDD"/>
    </w:rPr>
  </w:style>
  <w:style w:type="character" w:customStyle="1" w:styleId="152">
    <w:name w:val="ui-provider"/>
    <w:basedOn w:val="51"/>
    <w:qFormat/>
    <w:uiPriority w:val="0"/>
  </w:style>
  <w:style w:type="character" w:customStyle="1" w:styleId="153">
    <w:name w:val="Heading 6 Char"/>
    <w:basedOn w:val="51"/>
    <w:link w:val="7"/>
    <w:qFormat/>
    <w:uiPriority w:val="0"/>
    <w:rPr>
      <w:rFonts w:ascii="Arial" w:hAnsi="Arial" w:eastAsia="Times New Roman"/>
      <w:lang w:val="en-GB" w:eastAsia="en-GB"/>
    </w:rPr>
  </w:style>
  <w:style w:type="character" w:customStyle="1" w:styleId="154">
    <w:name w:val="Heading 7 Char"/>
    <w:basedOn w:val="51"/>
    <w:link w:val="8"/>
    <w:qFormat/>
    <w:uiPriority w:val="0"/>
    <w:rPr>
      <w:rFonts w:ascii="Arial" w:hAnsi="Arial" w:eastAsia="Times New Roman"/>
      <w:lang w:val="en-GB" w:eastAsia="en-GB"/>
    </w:rPr>
  </w:style>
  <w:style w:type="character" w:customStyle="1" w:styleId="155">
    <w:name w:val="Heading 8 Char"/>
    <w:basedOn w:val="51"/>
    <w:link w:val="10"/>
    <w:qFormat/>
    <w:uiPriority w:val="0"/>
    <w:rPr>
      <w:rFonts w:ascii="Arial" w:hAnsi="Arial" w:eastAsia="Times New Roman"/>
      <w:sz w:val="36"/>
      <w:lang w:val="en-GB" w:eastAsia="en-GB"/>
    </w:rPr>
  </w:style>
  <w:style w:type="character" w:customStyle="1" w:styleId="156">
    <w:name w:val="Heading 9 Char"/>
    <w:basedOn w:val="51"/>
    <w:link w:val="11"/>
    <w:qFormat/>
    <w:uiPriority w:val="0"/>
    <w:rPr>
      <w:rFonts w:ascii="Arial" w:hAnsi="Arial" w:eastAsia="Times New Roman"/>
      <w:sz w:val="36"/>
      <w:lang w:val="en-GB" w:eastAsia="en-GB"/>
    </w:rPr>
  </w:style>
  <w:style w:type="character" w:customStyle="1" w:styleId="157">
    <w:name w:val="Document Map Char"/>
    <w:basedOn w:val="51"/>
    <w:link w:val="29"/>
    <w:semiHidden/>
    <w:qFormat/>
    <w:uiPriority w:val="0"/>
    <w:rPr>
      <w:rFonts w:ascii="Tahoma" w:hAnsi="Tahoma" w:eastAsia="Times New Roman"/>
      <w:shd w:val="clear" w:color="auto" w:fill="000080"/>
      <w:lang w:val="en-GB" w:eastAsia="en-GB"/>
    </w:rPr>
  </w:style>
  <w:style w:type="paragraph" w:customStyle="1" w:styleId="158">
    <w:name w:val="Revision"/>
    <w:hidden/>
    <w:unhideWhenUsed/>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image" Target="media/image2.png"/><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image" Target="media/image1.emf"/><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image" Target="media/image38.wmf"/><Relationship Id="rId73" Type="http://schemas.openxmlformats.org/officeDocument/2006/relationships/oleObject" Target="embeddings/oleObject27.bin"/><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wmf"/><Relationship Id="rId7" Type="http://schemas.openxmlformats.org/officeDocument/2006/relationships/oleObject" Target="embeddings/oleObject1.bin"/><Relationship Id="rId69" Type="http://schemas.openxmlformats.org/officeDocument/2006/relationships/oleObject" Target="embeddings/oleObject25.bin"/><Relationship Id="rId68" Type="http://schemas.openxmlformats.org/officeDocument/2006/relationships/image" Target="media/image35.wmf"/><Relationship Id="rId67" Type="http://schemas.openxmlformats.org/officeDocument/2006/relationships/oleObject" Target="embeddings/oleObject24.bin"/><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theme" Target="theme/theme1.xml"/><Relationship Id="rId59" Type="http://schemas.openxmlformats.org/officeDocument/2006/relationships/oleObject" Target="embeddings/oleObject20.bin"/><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image" Target="media/image29.wmf"/><Relationship Id="rId55" Type="http://schemas.openxmlformats.org/officeDocument/2006/relationships/oleObject" Target="embeddings/oleObject18.bin"/><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wmf"/><Relationship Id="rId51" Type="http://schemas.openxmlformats.org/officeDocument/2006/relationships/oleObject" Target="embeddings/oleObject16.bin"/><Relationship Id="rId50" Type="http://schemas.openxmlformats.org/officeDocument/2006/relationships/image" Target="media/image26.wmf"/><Relationship Id="rId5" Type="http://schemas.openxmlformats.org/officeDocument/2006/relationships/footer" Target="footer1.xml"/><Relationship Id="rId49" Type="http://schemas.openxmlformats.org/officeDocument/2006/relationships/oleObject" Target="embeddings/oleObject15.bin"/><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emf"/><Relationship Id="rId43" Type="http://schemas.openxmlformats.org/officeDocument/2006/relationships/oleObject" Target="embeddings/Microsoft_Visio_2003-2010___3.vsd"/><Relationship Id="rId42" Type="http://schemas.openxmlformats.org/officeDocument/2006/relationships/image" Target="media/image22.emf"/><Relationship Id="rId41" Type="http://schemas.openxmlformats.org/officeDocument/2006/relationships/oleObject" Target="embeddings/Microsoft_Visio_2003-2010___2.vsd"/><Relationship Id="rId40" Type="http://schemas.openxmlformats.org/officeDocument/2006/relationships/image" Target="media/image21.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image" Target="media/image20.wmf"/><Relationship Id="rId36" Type="http://schemas.openxmlformats.org/officeDocument/2006/relationships/oleObject" Target="embeddings/oleObject10.bin"/><Relationship Id="rId35" Type="http://schemas.openxmlformats.org/officeDocument/2006/relationships/image" Target="media/image19.wmf"/><Relationship Id="rId34" Type="http://schemas.openxmlformats.org/officeDocument/2006/relationships/oleObject" Target="embeddings/oleObject9.bin"/><Relationship Id="rId33" Type="http://schemas.openxmlformats.org/officeDocument/2006/relationships/image" Target="media/image18.wmf"/><Relationship Id="rId32" Type="http://schemas.openxmlformats.org/officeDocument/2006/relationships/oleObject" Target="embeddings/oleObject8.bin"/><Relationship Id="rId31" Type="http://schemas.openxmlformats.org/officeDocument/2006/relationships/image" Target="media/image17.wmf"/><Relationship Id="rId30" Type="http://schemas.openxmlformats.org/officeDocument/2006/relationships/oleObject" Target="embeddings/oleObject7.bin"/><Relationship Id="rId3" Type="http://schemas.openxmlformats.org/officeDocument/2006/relationships/footnotes" Target="footnotes.xml"/><Relationship Id="rId29" Type="http://schemas.openxmlformats.org/officeDocument/2006/relationships/image" Target="media/image16.wmf"/><Relationship Id="rId28" Type="http://schemas.openxmlformats.org/officeDocument/2006/relationships/oleObject" Target="embeddings/oleObject6.bin"/><Relationship Id="rId27" Type="http://schemas.openxmlformats.org/officeDocument/2006/relationships/image" Target="media/image15.wmf"/><Relationship Id="rId26" Type="http://schemas.openxmlformats.org/officeDocument/2006/relationships/image" Target="media/image14.wmf"/><Relationship Id="rId25" Type="http://schemas.openxmlformats.org/officeDocument/2006/relationships/oleObject" Target="embeddings/oleObject5.bin"/><Relationship Id="rId240" Type="http://schemas.openxmlformats.org/officeDocument/2006/relationships/fontTable" Target="fontTable.xml"/><Relationship Id="rId24" Type="http://schemas.openxmlformats.org/officeDocument/2006/relationships/image" Target="media/image13.wmf"/><Relationship Id="rId239" Type="http://schemas.microsoft.com/office/2006/relationships/keyMapCustomizations" Target="customizations.xml"/><Relationship Id="rId238" Type="http://schemas.openxmlformats.org/officeDocument/2006/relationships/customXml" Target="../customXml/item1.xml"/><Relationship Id="rId237" Type="http://schemas.openxmlformats.org/officeDocument/2006/relationships/numbering" Target="numbering.xml"/><Relationship Id="rId236" Type="http://schemas.openxmlformats.org/officeDocument/2006/relationships/chart" Target="charts/chart77.xml"/><Relationship Id="rId235" Type="http://schemas.openxmlformats.org/officeDocument/2006/relationships/chart" Target="charts/chart76.xml"/><Relationship Id="rId234" Type="http://schemas.openxmlformats.org/officeDocument/2006/relationships/image" Target="media/image80.emf"/><Relationship Id="rId233" Type="http://schemas.openxmlformats.org/officeDocument/2006/relationships/oleObject" Target="embeddings/oleObject69.bin"/><Relationship Id="rId232" Type="http://schemas.openxmlformats.org/officeDocument/2006/relationships/image" Target="media/image79.emf"/><Relationship Id="rId231" Type="http://schemas.openxmlformats.org/officeDocument/2006/relationships/oleObject" Target="embeddings/oleObject68.bin"/><Relationship Id="rId230" Type="http://schemas.openxmlformats.org/officeDocument/2006/relationships/chart" Target="charts/chart75.xml"/><Relationship Id="rId23" Type="http://schemas.openxmlformats.org/officeDocument/2006/relationships/oleObject" Target="embeddings/oleObject4.bin"/><Relationship Id="rId229" Type="http://schemas.openxmlformats.org/officeDocument/2006/relationships/image" Target="media/image78.emf"/><Relationship Id="rId228" Type="http://schemas.openxmlformats.org/officeDocument/2006/relationships/oleObject" Target="embeddings/oleObject67.bin"/><Relationship Id="rId227" Type="http://schemas.openxmlformats.org/officeDocument/2006/relationships/image" Target="media/image77.emf"/><Relationship Id="rId226" Type="http://schemas.openxmlformats.org/officeDocument/2006/relationships/oleObject" Target="embeddings/oleObject66.bin"/><Relationship Id="rId225" Type="http://schemas.openxmlformats.org/officeDocument/2006/relationships/image" Target="media/image76.emf"/><Relationship Id="rId224" Type="http://schemas.openxmlformats.org/officeDocument/2006/relationships/oleObject" Target="embeddings/oleObject65.bin"/><Relationship Id="rId223" Type="http://schemas.openxmlformats.org/officeDocument/2006/relationships/image" Target="media/image75.emf"/><Relationship Id="rId222" Type="http://schemas.openxmlformats.org/officeDocument/2006/relationships/package" Target="embeddings/Workbook1.xlsx"/><Relationship Id="rId221" Type="http://schemas.openxmlformats.org/officeDocument/2006/relationships/image" Target="media/image74.emf"/><Relationship Id="rId220" Type="http://schemas.openxmlformats.org/officeDocument/2006/relationships/oleObject" Target="embeddings/oleObject64.bin"/><Relationship Id="rId22" Type="http://schemas.openxmlformats.org/officeDocument/2006/relationships/image" Target="media/image12.wmf"/><Relationship Id="rId219" Type="http://schemas.openxmlformats.org/officeDocument/2006/relationships/image" Target="media/image73.emf"/><Relationship Id="rId218" Type="http://schemas.openxmlformats.org/officeDocument/2006/relationships/oleObject" Target="embeddings/oleObject63.bin"/><Relationship Id="rId217" Type="http://schemas.openxmlformats.org/officeDocument/2006/relationships/image" Target="media/image72.png"/><Relationship Id="rId216" Type="http://schemas.openxmlformats.org/officeDocument/2006/relationships/image" Target="media/image71.emf"/><Relationship Id="rId215" Type="http://schemas.openxmlformats.org/officeDocument/2006/relationships/image" Target="media/image70.emf"/><Relationship Id="rId214" Type="http://schemas.openxmlformats.org/officeDocument/2006/relationships/chart" Target="charts/chart74.xml"/><Relationship Id="rId213" Type="http://schemas.openxmlformats.org/officeDocument/2006/relationships/chart" Target="charts/chart73.xml"/><Relationship Id="rId212" Type="http://schemas.openxmlformats.org/officeDocument/2006/relationships/image" Target="media/image69.wmf"/><Relationship Id="rId211" Type="http://schemas.openxmlformats.org/officeDocument/2006/relationships/oleObject" Target="embeddings/oleObject62.bin"/><Relationship Id="rId210" Type="http://schemas.openxmlformats.org/officeDocument/2006/relationships/chart" Target="charts/chart72.xml"/><Relationship Id="rId21" Type="http://schemas.openxmlformats.org/officeDocument/2006/relationships/oleObject" Target="embeddings/oleObject3.bin"/><Relationship Id="rId209" Type="http://schemas.openxmlformats.org/officeDocument/2006/relationships/chart" Target="charts/chart71.xml"/><Relationship Id="rId208" Type="http://schemas.openxmlformats.org/officeDocument/2006/relationships/chart" Target="charts/chart70.xml"/><Relationship Id="rId207" Type="http://schemas.openxmlformats.org/officeDocument/2006/relationships/chart" Target="charts/chart69.xml"/><Relationship Id="rId206" Type="http://schemas.openxmlformats.org/officeDocument/2006/relationships/chart" Target="charts/chart68.xml"/><Relationship Id="rId205" Type="http://schemas.openxmlformats.org/officeDocument/2006/relationships/chart" Target="charts/chart67.xml"/><Relationship Id="rId204" Type="http://schemas.openxmlformats.org/officeDocument/2006/relationships/chart" Target="charts/chart66.xml"/><Relationship Id="rId203" Type="http://schemas.openxmlformats.org/officeDocument/2006/relationships/chart" Target="charts/chart65.xml"/><Relationship Id="rId202" Type="http://schemas.openxmlformats.org/officeDocument/2006/relationships/chart" Target="charts/chart64.xml"/><Relationship Id="rId201" Type="http://schemas.openxmlformats.org/officeDocument/2006/relationships/chart" Target="charts/chart63.xml"/><Relationship Id="rId200" Type="http://schemas.openxmlformats.org/officeDocument/2006/relationships/chart" Target="charts/chart62.xml"/><Relationship Id="rId20" Type="http://schemas.openxmlformats.org/officeDocument/2006/relationships/image" Target="media/image11.wmf"/><Relationship Id="rId2" Type="http://schemas.openxmlformats.org/officeDocument/2006/relationships/settings" Target="settings.xml"/><Relationship Id="rId199" Type="http://schemas.openxmlformats.org/officeDocument/2006/relationships/chart" Target="charts/chart61.xml"/><Relationship Id="rId198" Type="http://schemas.openxmlformats.org/officeDocument/2006/relationships/chart" Target="charts/chart60.xml"/><Relationship Id="rId197" Type="http://schemas.openxmlformats.org/officeDocument/2006/relationships/chart" Target="charts/chart59.xml"/><Relationship Id="rId196" Type="http://schemas.openxmlformats.org/officeDocument/2006/relationships/chart" Target="charts/chart58.xml"/><Relationship Id="rId195" Type="http://schemas.openxmlformats.org/officeDocument/2006/relationships/chart" Target="charts/chart57.xml"/><Relationship Id="rId194" Type="http://schemas.openxmlformats.org/officeDocument/2006/relationships/chart" Target="charts/chart56.xml"/><Relationship Id="rId193" Type="http://schemas.openxmlformats.org/officeDocument/2006/relationships/chart" Target="charts/chart55.xml"/><Relationship Id="rId192" Type="http://schemas.openxmlformats.org/officeDocument/2006/relationships/chart" Target="charts/chart54.xml"/><Relationship Id="rId191" Type="http://schemas.openxmlformats.org/officeDocument/2006/relationships/chart" Target="charts/chart53.xml"/><Relationship Id="rId190" Type="http://schemas.openxmlformats.org/officeDocument/2006/relationships/chart" Target="charts/chart52.xml"/><Relationship Id="rId19" Type="http://schemas.openxmlformats.org/officeDocument/2006/relationships/oleObject" Target="embeddings/oleObject2.bin"/><Relationship Id="rId189" Type="http://schemas.openxmlformats.org/officeDocument/2006/relationships/chart" Target="charts/chart51.xml"/><Relationship Id="rId188" Type="http://schemas.openxmlformats.org/officeDocument/2006/relationships/chart" Target="charts/chart50.xml"/><Relationship Id="rId187" Type="http://schemas.openxmlformats.org/officeDocument/2006/relationships/chart" Target="charts/chart49.xml"/><Relationship Id="rId186" Type="http://schemas.openxmlformats.org/officeDocument/2006/relationships/chart" Target="charts/chart48.xml"/><Relationship Id="rId185" Type="http://schemas.openxmlformats.org/officeDocument/2006/relationships/chart" Target="charts/chart47.xml"/><Relationship Id="rId184" Type="http://schemas.openxmlformats.org/officeDocument/2006/relationships/chart" Target="charts/chart46.xml"/><Relationship Id="rId183" Type="http://schemas.openxmlformats.org/officeDocument/2006/relationships/chart" Target="charts/chart45.xml"/><Relationship Id="rId182" Type="http://schemas.openxmlformats.org/officeDocument/2006/relationships/chart" Target="charts/chart44.xml"/><Relationship Id="rId181" Type="http://schemas.openxmlformats.org/officeDocument/2006/relationships/chart" Target="charts/chart43.xml"/><Relationship Id="rId180" Type="http://schemas.openxmlformats.org/officeDocument/2006/relationships/chart" Target="charts/chart42.xml"/><Relationship Id="rId18" Type="http://schemas.openxmlformats.org/officeDocument/2006/relationships/image" Target="media/image10.jpeg"/><Relationship Id="rId179" Type="http://schemas.openxmlformats.org/officeDocument/2006/relationships/chart" Target="charts/chart41.xml"/><Relationship Id="rId178" Type="http://schemas.openxmlformats.org/officeDocument/2006/relationships/chart" Target="charts/chart40.xml"/><Relationship Id="rId177" Type="http://schemas.openxmlformats.org/officeDocument/2006/relationships/chart" Target="charts/chart39.xml"/><Relationship Id="rId176" Type="http://schemas.openxmlformats.org/officeDocument/2006/relationships/chart" Target="charts/chart38.xml"/><Relationship Id="rId175" Type="http://schemas.openxmlformats.org/officeDocument/2006/relationships/chart" Target="charts/chart37.xml"/><Relationship Id="rId174" Type="http://schemas.openxmlformats.org/officeDocument/2006/relationships/chart" Target="charts/chart36.xml"/><Relationship Id="rId173" Type="http://schemas.openxmlformats.org/officeDocument/2006/relationships/chart" Target="charts/chart35.xml"/><Relationship Id="rId172" Type="http://schemas.openxmlformats.org/officeDocument/2006/relationships/chart" Target="charts/chart34.xml"/><Relationship Id="rId171" Type="http://schemas.openxmlformats.org/officeDocument/2006/relationships/chart" Target="charts/chart33.xml"/><Relationship Id="rId170" Type="http://schemas.openxmlformats.org/officeDocument/2006/relationships/chart" Target="charts/chart32.xml"/><Relationship Id="rId17" Type="http://schemas.openxmlformats.org/officeDocument/2006/relationships/image" Target="media/image9.jpeg"/><Relationship Id="rId169" Type="http://schemas.openxmlformats.org/officeDocument/2006/relationships/chart" Target="charts/chart31.xml"/><Relationship Id="rId168" Type="http://schemas.openxmlformats.org/officeDocument/2006/relationships/chart" Target="charts/chart30.xml"/><Relationship Id="rId167" Type="http://schemas.openxmlformats.org/officeDocument/2006/relationships/chart" Target="charts/chart29.xml"/><Relationship Id="rId166" Type="http://schemas.openxmlformats.org/officeDocument/2006/relationships/chart" Target="charts/chart28.xml"/><Relationship Id="rId165" Type="http://schemas.openxmlformats.org/officeDocument/2006/relationships/chart" Target="charts/chart27.xml"/><Relationship Id="rId164" Type="http://schemas.openxmlformats.org/officeDocument/2006/relationships/chart" Target="charts/chart26.xml"/><Relationship Id="rId163" Type="http://schemas.openxmlformats.org/officeDocument/2006/relationships/chart" Target="charts/chart25.xml"/><Relationship Id="rId162" Type="http://schemas.openxmlformats.org/officeDocument/2006/relationships/chart" Target="charts/chart24.xml"/><Relationship Id="rId161" Type="http://schemas.openxmlformats.org/officeDocument/2006/relationships/chart" Target="charts/chart23.xml"/><Relationship Id="rId160" Type="http://schemas.openxmlformats.org/officeDocument/2006/relationships/chart" Target="charts/chart22.xml"/><Relationship Id="rId16" Type="http://schemas.openxmlformats.org/officeDocument/2006/relationships/image" Target="media/image8.jpeg"/><Relationship Id="rId159" Type="http://schemas.openxmlformats.org/officeDocument/2006/relationships/chart" Target="charts/chart21.xml"/><Relationship Id="rId158" Type="http://schemas.openxmlformats.org/officeDocument/2006/relationships/chart" Target="charts/chart20.xml"/><Relationship Id="rId157" Type="http://schemas.openxmlformats.org/officeDocument/2006/relationships/chart" Target="charts/chart19.xml"/><Relationship Id="rId156" Type="http://schemas.openxmlformats.org/officeDocument/2006/relationships/chart" Target="charts/chart18.xml"/><Relationship Id="rId155" Type="http://schemas.openxmlformats.org/officeDocument/2006/relationships/chart" Target="charts/chart17.xml"/><Relationship Id="rId154" Type="http://schemas.openxmlformats.org/officeDocument/2006/relationships/chart" Target="charts/chart16.xml"/><Relationship Id="rId153" Type="http://schemas.openxmlformats.org/officeDocument/2006/relationships/chart" Target="charts/chart15.xml"/><Relationship Id="rId152" Type="http://schemas.openxmlformats.org/officeDocument/2006/relationships/chart" Target="charts/chart14.xml"/><Relationship Id="rId151" Type="http://schemas.openxmlformats.org/officeDocument/2006/relationships/chart" Target="charts/chart13.xml"/><Relationship Id="rId150" Type="http://schemas.openxmlformats.org/officeDocument/2006/relationships/chart" Target="charts/chart12.xml"/><Relationship Id="rId15" Type="http://schemas.openxmlformats.org/officeDocument/2006/relationships/image" Target="media/image7.png"/><Relationship Id="rId149" Type="http://schemas.openxmlformats.org/officeDocument/2006/relationships/chart" Target="charts/chart11.xml"/><Relationship Id="rId148" Type="http://schemas.openxmlformats.org/officeDocument/2006/relationships/chart" Target="charts/chart10.xml"/><Relationship Id="rId147" Type="http://schemas.openxmlformats.org/officeDocument/2006/relationships/chart" Target="charts/chart9.xml"/><Relationship Id="rId146" Type="http://schemas.openxmlformats.org/officeDocument/2006/relationships/chart" Target="charts/chart8.xml"/><Relationship Id="rId145" Type="http://schemas.openxmlformats.org/officeDocument/2006/relationships/chart" Target="charts/chart7.xml"/><Relationship Id="rId144" Type="http://schemas.openxmlformats.org/officeDocument/2006/relationships/chart" Target="charts/chart6.xml"/><Relationship Id="rId143" Type="http://schemas.openxmlformats.org/officeDocument/2006/relationships/chart" Target="charts/chart5.xml"/><Relationship Id="rId142" Type="http://schemas.openxmlformats.org/officeDocument/2006/relationships/chart" Target="charts/chart4.xml"/><Relationship Id="rId141" Type="http://schemas.openxmlformats.org/officeDocument/2006/relationships/chart" Target="charts/chart3.xml"/><Relationship Id="rId140" Type="http://schemas.openxmlformats.org/officeDocument/2006/relationships/chart" Target="charts/chart2.xml"/><Relationship Id="rId14" Type="http://schemas.openxmlformats.org/officeDocument/2006/relationships/image" Target="media/image6.png"/><Relationship Id="rId139" Type="http://schemas.openxmlformats.org/officeDocument/2006/relationships/chart" Target="charts/chart1.xml"/><Relationship Id="rId138" Type="http://schemas.openxmlformats.org/officeDocument/2006/relationships/image" Target="media/image68.png"/><Relationship Id="rId137" Type="http://schemas.openxmlformats.org/officeDocument/2006/relationships/oleObject" Target="embeddings/oleObject61.bin"/><Relationship Id="rId136" Type="http://schemas.openxmlformats.org/officeDocument/2006/relationships/image" Target="media/image67.wmf"/><Relationship Id="rId135" Type="http://schemas.openxmlformats.org/officeDocument/2006/relationships/oleObject" Target="embeddings/oleObject60.bin"/><Relationship Id="rId134" Type="http://schemas.openxmlformats.org/officeDocument/2006/relationships/oleObject" Target="embeddings/oleObject59.bin"/><Relationship Id="rId133" Type="http://schemas.openxmlformats.org/officeDocument/2006/relationships/oleObject" Target="embeddings/oleObject58.bin"/><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image" Target="media/image5.png"/><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image" Target="media/image64.wmf"/><Relationship Id="rId126" Type="http://schemas.openxmlformats.org/officeDocument/2006/relationships/oleObject" Target="embeddings/oleObject54.bin"/><Relationship Id="rId125" Type="http://schemas.openxmlformats.org/officeDocument/2006/relationships/image" Target="media/image63.wmf"/><Relationship Id="rId124" Type="http://schemas.openxmlformats.org/officeDocument/2006/relationships/oleObject" Target="embeddings/oleObject53.bin"/><Relationship Id="rId123" Type="http://schemas.openxmlformats.org/officeDocument/2006/relationships/image" Target="media/image62.wmf"/><Relationship Id="rId122" Type="http://schemas.openxmlformats.org/officeDocument/2006/relationships/oleObject" Target="embeddings/oleObject52.bin"/><Relationship Id="rId121" Type="http://schemas.openxmlformats.org/officeDocument/2006/relationships/oleObject" Target="embeddings/oleObject51.bin"/><Relationship Id="rId120" Type="http://schemas.openxmlformats.org/officeDocument/2006/relationships/image" Target="media/image61.wmf"/><Relationship Id="rId12" Type="http://schemas.openxmlformats.org/officeDocument/2006/relationships/image" Target="media/image4.emf"/><Relationship Id="rId119" Type="http://schemas.openxmlformats.org/officeDocument/2006/relationships/oleObject" Target="embeddings/oleObject50.bin"/><Relationship Id="rId118" Type="http://schemas.openxmlformats.org/officeDocument/2006/relationships/image" Target="media/image60.wmf"/><Relationship Id="rId117" Type="http://schemas.openxmlformats.org/officeDocument/2006/relationships/oleObject" Target="embeddings/oleObject49.bin"/><Relationship Id="rId116" Type="http://schemas.openxmlformats.org/officeDocument/2006/relationships/image" Target="media/image59.wmf"/><Relationship Id="rId115" Type="http://schemas.openxmlformats.org/officeDocument/2006/relationships/oleObject" Target="embeddings/oleObject48.bin"/><Relationship Id="rId114" Type="http://schemas.openxmlformats.org/officeDocument/2006/relationships/image" Target="media/image58.wmf"/><Relationship Id="rId113" Type="http://schemas.openxmlformats.org/officeDocument/2006/relationships/oleObject" Target="embeddings/oleObject47.bin"/><Relationship Id="rId112" Type="http://schemas.openxmlformats.org/officeDocument/2006/relationships/image" Target="media/image57.wmf"/><Relationship Id="rId111" Type="http://schemas.openxmlformats.org/officeDocument/2006/relationships/oleObject" Target="embeddings/oleObject46.bin"/><Relationship Id="rId110" Type="http://schemas.openxmlformats.org/officeDocument/2006/relationships/image" Target="media/image56.wmf"/><Relationship Id="rId11" Type="http://schemas.openxmlformats.org/officeDocument/2006/relationships/package" Target="embeddings/Microsoft_Visio___1.vsdx"/><Relationship Id="rId109" Type="http://schemas.openxmlformats.org/officeDocument/2006/relationships/oleObject" Target="embeddings/oleObject45.bin"/><Relationship Id="rId108" Type="http://schemas.openxmlformats.org/officeDocument/2006/relationships/image" Target="media/image55.wmf"/><Relationship Id="rId107" Type="http://schemas.openxmlformats.org/officeDocument/2006/relationships/oleObject" Target="embeddings/oleObject44.bin"/><Relationship Id="rId106" Type="http://schemas.openxmlformats.org/officeDocument/2006/relationships/image" Target="media/image54.wmf"/><Relationship Id="rId105" Type="http://schemas.openxmlformats.org/officeDocument/2006/relationships/oleObject" Target="embeddings/oleObject43.bin"/><Relationship Id="rId104" Type="http://schemas.openxmlformats.org/officeDocument/2006/relationships/image" Target="media/image53.wmf"/><Relationship Id="rId103" Type="http://schemas.openxmlformats.org/officeDocument/2006/relationships/oleObject" Target="embeddings/oleObject42.bin"/><Relationship Id="rId102" Type="http://schemas.openxmlformats.org/officeDocument/2006/relationships/image" Target="media/image52.wmf"/><Relationship Id="rId101" Type="http://schemas.openxmlformats.org/officeDocument/2006/relationships/oleObject" Target="embeddings/oleObject41.bin"/><Relationship Id="rId100" Type="http://schemas.openxmlformats.org/officeDocument/2006/relationships/image" Target="media/image51.wmf"/><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76.xml"/><Relationship Id="rId2" Type="http://schemas.microsoft.com/office/2011/relationships/chartStyle" Target="style7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0.xml.rels><?xml version="1.0" encoding="UTF-8" standalone="yes"?>
<Relationships xmlns="http://schemas.openxmlformats.org/package/2006/relationships"><Relationship Id="rId3" Type="http://schemas.microsoft.com/office/2011/relationships/chartColorStyle" Target="colors67.xml"/><Relationship Id="rId2" Type="http://schemas.microsoft.com/office/2011/relationships/chartStyle" Target="style6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1.xml.rels><?xml version="1.0" encoding="UTF-8" standalone="yes"?>
<Relationships xmlns="http://schemas.openxmlformats.org/package/2006/relationships"><Relationship Id="rId3" Type="http://schemas.microsoft.com/office/2011/relationships/chartColorStyle" Target="colors62.xml"/><Relationship Id="rId2" Type="http://schemas.microsoft.com/office/2011/relationships/chartStyle" Target="style6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2.xml.rels><?xml version="1.0" encoding="UTF-8" standalone="yes"?>
<Relationships xmlns="http://schemas.openxmlformats.org/package/2006/relationships"><Relationship Id="rId3" Type="http://schemas.microsoft.com/office/2011/relationships/chartColorStyle" Target="colors50.xml"/><Relationship Id="rId2" Type="http://schemas.microsoft.com/office/2011/relationships/chartStyle" Target="style5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3.xml.rels><?xml version="1.0" encoding="UTF-8" standalone="yes"?>
<Relationships xmlns="http://schemas.openxmlformats.org/package/2006/relationships"><Relationship Id="rId3" Type="http://schemas.microsoft.com/office/2011/relationships/chartColorStyle" Target="colors73.xml"/><Relationship Id="rId2" Type="http://schemas.microsoft.com/office/2011/relationships/chartStyle" Target="style7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4.xml.rels><?xml version="1.0" encoding="UTF-8" standalone="yes"?>
<Relationships xmlns="http://schemas.openxmlformats.org/package/2006/relationships"><Relationship Id="rId3" Type="http://schemas.microsoft.com/office/2011/relationships/chartColorStyle" Target="colors57.xml"/><Relationship Id="rId2" Type="http://schemas.microsoft.com/office/2011/relationships/chartStyle" Target="style5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5.xml.rels><?xml version="1.0" encoding="UTF-8" standalone="yes"?>
<Relationships xmlns="http://schemas.openxmlformats.org/package/2006/relationships"><Relationship Id="rId3" Type="http://schemas.microsoft.com/office/2011/relationships/chartColorStyle" Target="colors49.xml"/><Relationship Id="rId2" Type="http://schemas.microsoft.com/office/2011/relationships/chartStyle" Target="style4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6.xml.rels><?xml version="1.0" encoding="UTF-8" standalone="yes"?>
<Relationships xmlns="http://schemas.openxmlformats.org/package/2006/relationships"><Relationship Id="rId3" Type="http://schemas.microsoft.com/office/2011/relationships/chartColorStyle" Target="colors51.xml"/><Relationship Id="rId2" Type="http://schemas.microsoft.com/office/2011/relationships/chartStyle" Target="style5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7.xml.rels><?xml version="1.0" encoding="UTF-8" standalone="yes"?>
<Relationships xmlns="http://schemas.openxmlformats.org/package/2006/relationships"><Relationship Id="rId3" Type="http://schemas.microsoft.com/office/2011/relationships/chartColorStyle" Target="colors52.xml"/><Relationship Id="rId2" Type="http://schemas.microsoft.com/office/2011/relationships/chartStyle" Target="style5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8.xml.rels><?xml version="1.0" encoding="UTF-8" standalone="yes"?>
<Relationships xmlns="http://schemas.openxmlformats.org/package/2006/relationships"><Relationship Id="rId3" Type="http://schemas.microsoft.com/office/2011/relationships/chartColorStyle" Target="colors53.xml"/><Relationship Id="rId2" Type="http://schemas.microsoft.com/office/2011/relationships/chartStyle" Target="style5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19.xml.rels><?xml version="1.0" encoding="UTF-8" standalone="yes"?>
<Relationships xmlns="http://schemas.openxmlformats.org/package/2006/relationships"><Relationship Id="rId3" Type="http://schemas.microsoft.com/office/2011/relationships/chartColorStyle" Target="colors58.xml"/><Relationship Id="rId2" Type="http://schemas.microsoft.com/office/2011/relationships/chartStyle" Target="style5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74.xml"/><Relationship Id="rId2" Type="http://schemas.microsoft.com/office/2011/relationships/chartStyle" Target="style74.xml"/><Relationship Id="rId1" Type="http://schemas.openxmlformats.org/officeDocument/2006/relationships/oleObject" Target="../embeddings/oleObject73.bin"/></Relationships>
</file>

<file path=word/charts/_rels/chart20.xml.rels><?xml version="1.0" encoding="UTF-8" standalone="yes"?>
<Relationships xmlns="http://schemas.openxmlformats.org/package/2006/relationships"><Relationship Id="rId3" Type="http://schemas.microsoft.com/office/2011/relationships/chartColorStyle" Target="colors59.xml"/><Relationship Id="rId2" Type="http://schemas.microsoft.com/office/2011/relationships/chartStyle" Target="style5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1.xml.rels><?xml version="1.0" encoding="UTF-8" standalone="yes"?>
<Relationships xmlns="http://schemas.openxmlformats.org/package/2006/relationships"><Relationship Id="rId3" Type="http://schemas.microsoft.com/office/2011/relationships/chartColorStyle" Target="colors48.xml"/><Relationship Id="rId2" Type="http://schemas.microsoft.com/office/2011/relationships/chartStyle" Target="style4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2.xml.rels><?xml version="1.0" encoding="UTF-8" standalone="yes"?>
<Relationships xmlns="http://schemas.openxmlformats.org/package/2006/relationships"><Relationship Id="rId3" Type="http://schemas.microsoft.com/office/2011/relationships/chartColorStyle" Target="colors70.xml"/><Relationship Id="rId2" Type="http://schemas.microsoft.com/office/2011/relationships/chartStyle" Target="style7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3.xml.rels><?xml version="1.0" encoding="UTF-8" standalone="yes"?>
<Relationships xmlns="http://schemas.openxmlformats.org/package/2006/relationships"><Relationship Id="rId3" Type="http://schemas.microsoft.com/office/2011/relationships/chartColorStyle" Target="colors60.xml"/><Relationship Id="rId2" Type="http://schemas.microsoft.com/office/2011/relationships/chartStyle" Target="style6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4.xml.rels><?xml version="1.0" encoding="UTF-8" standalone="yes"?>
<Relationships xmlns="http://schemas.openxmlformats.org/package/2006/relationships"><Relationship Id="rId3" Type="http://schemas.microsoft.com/office/2011/relationships/chartColorStyle" Target="colors65.xml"/><Relationship Id="rId2" Type="http://schemas.microsoft.com/office/2011/relationships/chartStyle" Target="style6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5.xml.rels><?xml version="1.0" encoding="UTF-8" standalone="yes"?>
<Relationships xmlns="http://schemas.openxmlformats.org/package/2006/relationships"><Relationship Id="rId3" Type="http://schemas.microsoft.com/office/2011/relationships/chartColorStyle" Target="colors63.xml"/><Relationship Id="rId2" Type="http://schemas.microsoft.com/office/2011/relationships/chartStyle" Target="style6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6.xml.rels><?xml version="1.0" encoding="UTF-8" standalone="yes"?>
<Relationships xmlns="http://schemas.openxmlformats.org/package/2006/relationships"><Relationship Id="rId3" Type="http://schemas.microsoft.com/office/2011/relationships/chartColorStyle" Target="colors64.xml"/><Relationship Id="rId2" Type="http://schemas.microsoft.com/office/2011/relationships/chartStyle" Target="style64.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7.xml.rels><?xml version="1.0" encoding="UTF-8" standalone="yes"?>
<Relationships xmlns="http://schemas.openxmlformats.org/package/2006/relationships"><Relationship Id="rId3" Type="http://schemas.microsoft.com/office/2011/relationships/chartColorStyle" Target="colors71.xml"/><Relationship Id="rId2" Type="http://schemas.microsoft.com/office/2011/relationships/chartStyle" Target="style7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8.xml.rels><?xml version="1.0" encoding="UTF-8" standalone="yes"?>
<Relationships xmlns="http://schemas.openxmlformats.org/package/2006/relationships"><Relationship Id="rId3" Type="http://schemas.microsoft.com/office/2011/relationships/chartColorStyle" Target="colors69.xml"/><Relationship Id="rId2" Type="http://schemas.microsoft.com/office/2011/relationships/chartStyle" Target="style6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29.xml.rels><?xml version="1.0" encoding="UTF-8" standalone="yes"?>
<Relationships xmlns="http://schemas.openxmlformats.org/package/2006/relationships"><Relationship Id="rId3" Type="http://schemas.microsoft.com/office/2011/relationships/chartColorStyle" Target="colors68.xml"/><Relationship Id="rId2" Type="http://schemas.microsoft.com/office/2011/relationships/chartStyle" Target="style6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77.xml"/><Relationship Id="rId2" Type="http://schemas.microsoft.com/office/2011/relationships/chartStyle" Target="style7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0.xml.rels><?xml version="1.0" encoding="UTF-8" standalone="yes"?>
<Relationships xmlns="http://schemas.openxmlformats.org/package/2006/relationships"><Relationship Id="rId3" Type="http://schemas.microsoft.com/office/2011/relationships/chartColorStyle" Target="colors72.xml"/><Relationship Id="rId2" Type="http://schemas.microsoft.com/office/2011/relationships/chartStyle" Target="style7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1.xml.rels><?xml version="1.0" encoding="UTF-8" standalone="yes"?>
<Relationships xmlns="http://schemas.openxmlformats.org/package/2006/relationships"><Relationship Id="rId3" Type="http://schemas.microsoft.com/office/2011/relationships/chartColorStyle" Target="colors34.xml"/><Relationship Id="rId2" Type="http://schemas.microsoft.com/office/2011/relationships/chartStyle" Target="style34.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2.xml.rels><?xml version="1.0" encoding="UTF-8" standalone="yes"?>
<Relationships xmlns="http://schemas.openxmlformats.org/package/2006/relationships"><Relationship Id="rId3" Type="http://schemas.microsoft.com/office/2011/relationships/chartColorStyle" Target="colors43.xml"/><Relationship Id="rId2" Type="http://schemas.microsoft.com/office/2011/relationships/chartStyle" Target="style4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3.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4.xml.rels><?xml version="1.0" encoding="UTF-8" standalone="yes"?>
<Relationships xmlns="http://schemas.openxmlformats.org/package/2006/relationships"><Relationship Id="rId3" Type="http://schemas.microsoft.com/office/2011/relationships/chartColorStyle" Target="colors35.xml"/><Relationship Id="rId2" Type="http://schemas.microsoft.com/office/2011/relationships/chartStyle" Target="style3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5.xml.rels><?xml version="1.0" encoding="UTF-8" standalone="yes"?>
<Relationships xmlns="http://schemas.openxmlformats.org/package/2006/relationships"><Relationship Id="rId3" Type="http://schemas.microsoft.com/office/2011/relationships/chartColorStyle" Target="colors36.xml"/><Relationship Id="rId2" Type="http://schemas.microsoft.com/office/2011/relationships/chartStyle" Target="style3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6.xml.rels><?xml version="1.0" encoding="UTF-8" standalone="yes"?>
<Relationships xmlns="http://schemas.openxmlformats.org/package/2006/relationships"><Relationship Id="rId3" Type="http://schemas.microsoft.com/office/2011/relationships/chartColorStyle" Target="colors37.xml"/><Relationship Id="rId2" Type="http://schemas.microsoft.com/office/2011/relationships/chartStyle" Target="style3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7.xml.rels><?xml version="1.0" encoding="UTF-8" standalone="yes"?>
<Relationships xmlns="http://schemas.openxmlformats.org/package/2006/relationships"><Relationship Id="rId3" Type="http://schemas.microsoft.com/office/2011/relationships/chartColorStyle" Target="colors38.xml"/><Relationship Id="rId2" Type="http://schemas.microsoft.com/office/2011/relationships/chartStyle" Target="style3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8.xml.rels><?xml version="1.0" encoding="UTF-8" standalone="yes"?>
<Relationships xmlns="http://schemas.openxmlformats.org/package/2006/relationships"><Relationship Id="rId3" Type="http://schemas.microsoft.com/office/2011/relationships/chartColorStyle" Target="colors32.xml"/><Relationship Id="rId2" Type="http://schemas.microsoft.com/office/2011/relationships/chartStyle" Target="style3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39.xml.rels><?xml version="1.0" encoding="UTF-8" standalone="yes"?>
<Relationships xmlns="http://schemas.openxmlformats.org/package/2006/relationships"><Relationship Id="rId3" Type="http://schemas.microsoft.com/office/2011/relationships/chartColorStyle" Target="colors46.xml"/><Relationship Id="rId2" Type="http://schemas.microsoft.com/office/2011/relationships/chartStyle" Target="style4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75.xml"/><Relationship Id="rId2" Type="http://schemas.microsoft.com/office/2011/relationships/chartStyle" Target="style75.xml"/><Relationship Id="rId1" Type="http://schemas.openxmlformats.org/officeDocument/2006/relationships/oleObject" Target="../embeddings/oleObject74.bin"/></Relationships>
</file>

<file path=word/charts/_rels/chart40.xml.rels><?xml version="1.0" encoding="UTF-8" standalone="yes"?>
<Relationships xmlns="http://schemas.openxmlformats.org/package/2006/relationships"><Relationship Id="rId3" Type="http://schemas.microsoft.com/office/2011/relationships/chartColorStyle" Target="colors28.xml"/><Relationship Id="rId2" Type="http://schemas.microsoft.com/office/2011/relationships/chartStyle" Target="style2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1.xml.rels><?xml version="1.0" encoding="UTF-8" standalone="yes"?>
<Relationships xmlns="http://schemas.openxmlformats.org/package/2006/relationships"><Relationship Id="rId3" Type="http://schemas.microsoft.com/office/2011/relationships/chartColorStyle" Target="colors47.xml"/><Relationship Id="rId2" Type="http://schemas.microsoft.com/office/2011/relationships/chartStyle" Target="style4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2.xml.rels><?xml version="1.0" encoding="UTF-8" standalone="yes"?>
<Relationships xmlns="http://schemas.openxmlformats.org/package/2006/relationships"><Relationship Id="rId3" Type="http://schemas.microsoft.com/office/2011/relationships/chartColorStyle" Target="colors25.xml"/><Relationship Id="rId2" Type="http://schemas.microsoft.com/office/2011/relationships/chartStyle" Target="style2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3.xml.rels><?xml version="1.0" encoding="UTF-8" standalone="yes"?>
<Relationships xmlns="http://schemas.openxmlformats.org/package/2006/relationships"><Relationship Id="rId3" Type="http://schemas.microsoft.com/office/2011/relationships/chartColorStyle" Target="colors39.xml"/><Relationship Id="rId2" Type="http://schemas.microsoft.com/office/2011/relationships/chartStyle" Target="style3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4.xml.rels><?xml version="1.0" encoding="UTF-8" standalone="yes"?>
<Relationships xmlns="http://schemas.openxmlformats.org/package/2006/relationships"><Relationship Id="rId3" Type="http://schemas.microsoft.com/office/2011/relationships/chartColorStyle" Target="colors26.xml"/><Relationship Id="rId2" Type="http://schemas.microsoft.com/office/2011/relationships/chartStyle" Target="style2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5.xml.rels><?xml version="1.0" encoding="UTF-8" standalone="yes"?>
<Relationships xmlns="http://schemas.openxmlformats.org/package/2006/relationships"><Relationship Id="rId3" Type="http://schemas.microsoft.com/office/2011/relationships/chartColorStyle" Target="colors27.xml"/><Relationship Id="rId2" Type="http://schemas.microsoft.com/office/2011/relationships/chartStyle" Target="style2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6.xml.rels><?xml version="1.0" encoding="UTF-8" standalone="yes"?>
<Relationships xmlns="http://schemas.openxmlformats.org/package/2006/relationships"><Relationship Id="rId3" Type="http://schemas.microsoft.com/office/2011/relationships/chartColorStyle" Target="colors44.xml"/><Relationship Id="rId2" Type="http://schemas.microsoft.com/office/2011/relationships/chartStyle" Target="style44.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7.xml.rels><?xml version="1.0" encoding="UTF-8" standalone="yes"?>
<Relationships xmlns="http://schemas.openxmlformats.org/package/2006/relationships"><Relationship Id="rId3" Type="http://schemas.microsoft.com/office/2011/relationships/chartColorStyle" Target="colors33.xml"/><Relationship Id="rId2" Type="http://schemas.microsoft.com/office/2011/relationships/chartStyle" Target="style3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8.xml.rels><?xml version="1.0" encoding="UTF-8" standalone="yes"?>
<Relationships xmlns="http://schemas.openxmlformats.org/package/2006/relationships"><Relationship Id="rId3" Type="http://schemas.microsoft.com/office/2011/relationships/chartColorStyle" Target="colors40.xml"/><Relationship Id="rId2" Type="http://schemas.microsoft.com/office/2011/relationships/chartStyle" Target="style4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49.xml.rels><?xml version="1.0" encoding="UTF-8" standalone="yes"?>
<Relationships xmlns="http://schemas.openxmlformats.org/package/2006/relationships"><Relationship Id="rId3" Type="http://schemas.microsoft.com/office/2011/relationships/chartColorStyle" Target="colors29.xml"/><Relationship Id="rId2" Type="http://schemas.microsoft.com/office/2011/relationships/chartStyle" Target="style2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54.xml"/><Relationship Id="rId2" Type="http://schemas.microsoft.com/office/2011/relationships/chartStyle" Target="style54.xml"/><Relationship Id="rId1" Type="http://schemas.openxmlformats.org/officeDocument/2006/relationships/oleObject" Target="../embeddings/oleObject70.bin"/></Relationships>
</file>

<file path=word/charts/_rels/chart50.xml.rels><?xml version="1.0" encoding="UTF-8" standalone="yes"?>
<Relationships xmlns="http://schemas.openxmlformats.org/package/2006/relationships"><Relationship Id="rId3" Type="http://schemas.microsoft.com/office/2011/relationships/chartColorStyle" Target="colors45.xml"/><Relationship Id="rId2" Type="http://schemas.microsoft.com/office/2011/relationships/chartStyle" Target="style4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1.xml.rels><?xml version="1.0" encoding="UTF-8" standalone="yes"?>
<Relationships xmlns="http://schemas.openxmlformats.org/package/2006/relationships"><Relationship Id="rId3" Type="http://schemas.microsoft.com/office/2011/relationships/chartColorStyle" Target="colors41.xml"/><Relationship Id="rId2" Type="http://schemas.microsoft.com/office/2011/relationships/chartStyle" Target="style4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2.xml.rels><?xml version="1.0" encoding="UTF-8" standalone="yes"?>
<Relationships xmlns="http://schemas.openxmlformats.org/package/2006/relationships"><Relationship Id="rId3" Type="http://schemas.microsoft.com/office/2011/relationships/chartColorStyle" Target="colors30.xml"/><Relationship Id="rId2" Type="http://schemas.microsoft.com/office/2011/relationships/chartStyle" Target="style3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3.xml.rels><?xml version="1.0" encoding="UTF-8" standalone="yes"?>
<Relationships xmlns="http://schemas.openxmlformats.org/package/2006/relationships"><Relationship Id="rId3" Type="http://schemas.microsoft.com/office/2011/relationships/chartColorStyle" Target="colors42.xml"/><Relationship Id="rId2" Type="http://schemas.microsoft.com/office/2011/relationships/chartStyle" Target="style4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4.xml.rels><?xml version="1.0" encoding="UTF-8" standalone="yes"?>
<Relationships xmlns="http://schemas.openxmlformats.org/package/2006/relationships"><Relationship Id="rId3" Type="http://schemas.microsoft.com/office/2011/relationships/chartColorStyle" Target="colors31.xml"/><Relationship Id="rId2" Type="http://schemas.microsoft.com/office/2011/relationships/chartStyle" Target="style3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5.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7.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8.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59.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55.xml"/><Relationship Id="rId2" Type="http://schemas.microsoft.com/office/2011/relationships/chartStyle" Target="style5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0.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2.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3.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4.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5.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6.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7.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8.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69.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56.xml"/><Relationship Id="rId2" Type="http://schemas.microsoft.com/office/2011/relationships/chartStyle" Target="style56.xml"/><Relationship Id="rId1" Type="http://schemas.openxmlformats.org/officeDocument/2006/relationships/oleObject" Target="../embeddings/oleObject71.bin"/></Relationships>
</file>

<file path=word/charts/_rels/chart70.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71.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72.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_rels/chart73.xml.rels><?xml version="1.0" encoding="UTF-8" standalone="yes"?>
<Relationships xmlns="http://schemas.openxmlformats.org/package/2006/relationships"><Relationship Id="rId4" Type="http://schemas.microsoft.com/office/2011/relationships/chartColorStyle" Target="colors12.xml"/><Relationship Id="rId3" Type="http://schemas.microsoft.com/office/2011/relationships/chartStyle" Target="style12.xml"/><Relationship Id="rId2" Type="http://schemas.openxmlformats.org/officeDocument/2006/relationships/themeOverride" Target="../theme/themeOverride1.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4" Type="http://schemas.microsoft.com/office/2011/relationships/chartColorStyle" Target="colors14.xml"/><Relationship Id="rId3" Type="http://schemas.microsoft.com/office/2011/relationships/chartStyle" Target="style14.xml"/><Relationship Id="rId2" Type="http://schemas.openxmlformats.org/officeDocument/2006/relationships/themeOverride" Target="../theme/themeOverride2.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Annex%252525252525252525252520-%252525252525252525252520Impact%252525252525252525252520of%252525252525252525252520ATG%252525252525252525252520UE%252525252525252525252520antenna%252525252525252525252520type.xlsx" TargetMode="External"/></Relationships>
</file>

<file path=word/charts/_rels/chart76.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0ATG/Co-existence/Annex%252525252525252525252520-%252525252525252525252520Impact%252525252525252525252520of%252525252525252525252520ATG%252525252525252525252520UE%252525252525252525252520height%252525252525252525252520distribution.xlsx" TargetMode="External"/></Relationships>
</file>

<file path=word/charts/_rels/chart77.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0ATG/Co-existence/Annex%252525252525252525252520-%252525252525252525252520Impact%252525252525252525252520of%252525252525252525252520ATG%252525252525252525252520UE%252525252525252525252520height%252525252525252525252520distribution.xlsx" TargetMode="External"/></Relationships>
</file>

<file path=word/charts/_rels/chart8.xml.rels><?xml version="1.0" encoding="UTF-8" standalone="yes"?>
<Relationships xmlns="http://schemas.openxmlformats.org/package/2006/relationships"><Relationship Id="rId3" Type="http://schemas.microsoft.com/office/2011/relationships/chartColorStyle" Target="colors66.xml"/><Relationship Id="rId2" Type="http://schemas.microsoft.com/office/2011/relationships/chartStyle" Target="style66.xml"/><Relationship Id="rId1" Type="http://schemas.openxmlformats.org/officeDocument/2006/relationships/oleObject" Target="../embeddings/oleObject72.bin"/></Relationships>
</file>

<file path=word/charts/_rels/chart9.xml.rels><?xml version="1.0" encoding="UTF-8" standalone="yes"?>
<Relationships xmlns="http://schemas.openxmlformats.org/package/2006/relationships"><Relationship Id="rId3" Type="http://schemas.microsoft.com/office/2011/relationships/chartColorStyle" Target="colors61.xml"/><Relationship Id="rId2" Type="http://schemas.microsoft.com/office/2011/relationships/chartStyle" Target="style6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manualLayout>
          <c:layoutTarget val="inner"/>
          <c:xMode val="edge"/>
          <c:yMode val="edge"/>
          <c:x val="0.076198344301534"/>
          <c:y val="0.125076850708407"/>
          <c:w val="0.907831905172376"/>
          <c:h val="0.65385272908944"/>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c:v>
                </c:pt>
                <c:pt idx="10">
                  <c:v>0.102177519428437</c:v>
                </c:pt>
                <c:pt idx="11">
                  <c:v>0.102161391777811</c:v>
                </c:pt>
                <c:pt idx="12">
                  <c:v>0.102148581125328</c:v>
                </c:pt>
                <c:pt idx="13">
                  <c:v>0.102138405259666</c:v>
                </c:pt>
                <c:pt idx="14">
                  <c:v>0.102130322280591</c:v>
                </c:pt>
                <c:pt idx="15">
                  <c:v>0.102123901741014</c:v>
                </c:pt>
              </c:numCache>
            </c:numRef>
          </c:val>
          <c:smooth val="0"/>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c:v>
                </c:pt>
                <c:pt idx="2">
                  <c:v>0.113288908836551</c:v>
                </c:pt>
                <c:pt idx="3">
                  <c:v>0.0911110452764041</c:v>
                </c:pt>
                <c:pt idx="4">
                  <c:v>0.0911110432899154</c:v>
                </c:pt>
                <c:pt idx="5">
                  <c:v>0.0911110417119998</c:v>
                </c:pt>
                <c:pt idx="6">
                  <c:v>0.0911110404585913</c:v>
                </c:pt>
                <c:pt idx="7">
                  <c:v>0.0911110394629877</c:v>
                </c:pt>
                <c:pt idx="8">
                  <c:v>0.0831742510157385</c:v>
                </c:pt>
                <c:pt idx="9">
                  <c:v>0.0831742510078337</c:v>
                </c:pt>
                <c:pt idx="10">
                  <c:v>0.0831742510015721</c:v>
                </c:pt>
                <c:pt idx="11">
                  <c:v>0.0831742509965872</c:v>
                </c:pt>
                <c:pt idx="12">
                  <c:v>0.0831742509926348</c:v>
                </c:pt>
                <c:pt idx="13">
                  <c:v>0.0831742509894817</c:v>
                </c:pt>
                <c:pt idx="14">
                  <c:v>0.0831742509870059</c:v>
                </c:pt>
                <c:pt idx="15">
                  <c:v>0.0831742509850075</c:v>
                </c:pt>
              </c:numCache>
            </c:numRef>
          </c:val>
          <c:smooth val="0"/>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c:v>
                </c:pt>
                <c:pt idx="1">
                  <c:v>2.09027133127906</c:v>
                </c:pt>
                <c:pt idx="2">
                  <c:v>1.76222582754083</c:v>
                </c:pt>
                <c:pt idx="3">
                  <c:v>1.43418032380259</c:v>
                </c:pt>
                <c:pt idx="4">
                  <c:v>1.24140025767943</c:v>
                </c:pt>
                <c:pt idx="5">
                  <c:v>1.04862019155626</c:v>
                </c:pt>
                <c:pt idx="6">
                  <c:v>0.939077819384104</c:v>
                </c:pt>
                <c:pt idx="7">
                  <c:v>0.829535447211949</c:v>
                </c:pt>
                <c:pt idx="8">
                  <c:v>0.653175025821134</c:v>
                </c:pt>
                <c:pt idx="9">
                  <c:v>0.47681460443032</c:v>
                </c:pt>
                <c:pt idx="10">
                  <c:v>0.355570334601119</c:v>
                </c:pt>
                <c:pt idx="11">
                  <c:v>0.234326064771917</c:v>
                </c:pt>
                <c:pt idx="12">
                  <c:v>0.195269307809298</c:v>
                </c:pt>
                <c:pt idx="13">
                  <c:v>0.156212550846679</c:v>
                </c:pt>
                <c:pt idx="14">
                  <c:v>0.120161269613023</c:v>
                </c:pt>
                <c:pt idx="15">
                  <c:v>0.0841099883793661</c:v>
                </c:pt>
              </c:numCache>
            </c:numRef>
          </c:val>
          <c:smooth val="0"/>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0.93736</c:v>
                </c:pt>
                <c:pt idx="1">
                  <c:v>0.80468</c:v>
                </c:pt>
                <c:pt idx="2">
                  <c:v>0.68448</c:v>
                </c:pt>
                <c:pt idx="3">
                  <c:v>0.62589</c:v>
                </c:pt>
                <c:pt idx="4">
                  <c:v>0.55006</c:v>
                </c:pt>
                <c:pt idx="5">
                  <c:v>0.51768</c:v>
                </c:pt>
                <c:pt idx="6">
                  <c:v>0.51064</c:v>
                </c:pt>
                <c:pt idx="7">
                  <c:v>0.49989</c:v>
                </c:pt>
                <c:pt idx="8">
                  <c:v>0.30621</c:v>
                </c:pt>
                <c:pt idx="9">
                  <c:v>0.055321</c:v>
                </c:pt>
                <c:pt idx="10">
                  <c:v>0</c:v>
                </c:pt>
              </c:numCache>
            </c:numRef>
          </c:val>
          <c:smooth val="0"/>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0.1062156</c:v>
                </c:pt>
                <c:pt idx="3">
                  <c:v>0.10401335</c:v>
                </c:pt>
                <c:pt idx="4">
                  <c:v>0.1025895</c:v>
                </c:pt>
                <c:pt idx="5">
                  <c:v>0.1014518</c:v>
                </c:pt>
                <c:pt idx="6">
                  <c:v>0.09969505</c:v>
                </c:pt>
                <c:pt idx="7">
                  <c:v>0.0989697</c:v>
                </c:pt>
                <c:pt idx="8">
                  <c:v>0.09839175</c:v>
                </c:pt>
                <c:pt idx="9">
                  <c:v>0.0979316</c:v>
                </c:pt>
                <c:pt idx="10">
                  <c:v>0.09689925</c:v>
                </c:pt>
                <c:pt idx="11">
                  <c:v>0.09590945</c:v>
                </c:pt>
                <c:pt idx="12">
                  <c:v>0.09511605</c:v>
                </c:pt>
                <c:pt idx="13">
                  <c:v>0.09448125</c:v>
                </c:pt>
                <c:pt idx="14">
                  <c:v>0.09397405</c:v>
                </c:pt>
                <c:pt idx="15">
                  <c:v>0.09356925</c:v>
                </c:pt>
                <c:pt idx="16">
                  <c:v>0.09324655</c:v>
                </c:pt>
                <c:pt idx="17">
                  <c:v>0.09298945</c:v>
                </c:pt>
                <c:pt idx="18">
                  <c:v>0.09278475</c:v>
                </c:pt>
                <c:pt idx="19">
                  <c:v>0.09262185</c:v>
                </c:pt>
                <c:pt idx="20">
                  <c:v>0.09249225</c:v>
                </c:pt>
              </c:numCache>
            </c:numRef>
          </c:val>
          <c:smooth val="0"/>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0762502726374889"/>
              <c:y val="0.24320333153301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32112407517688"/>
          <c:y val="0.923848744989909"/>
          <c:w val="0.735775021586354"/>
          <c:h val="0.076151255010091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0.000469313883255662</c:v>
                </c:pt>
                <c:pt idx="1">
                  <c:v>0.000373248655594072</c:v>
                </c:pt>
                <c:pt idx="2">
                  <c:v>0.000296861683490857</c:v>
                </c:pt>
                <c:pt idx="3">
                  <c:v>0.000236134913000896</c:v>
                </c:pt>
                <c:pt idx="4">
                  <c:v>0.000187866003598103</c:v>
                </c:pt>
                <c:pt idx="5">
                  <c:v>0.000149504457924721</c:v>
                </c:pt>
                <c:pt idx="6">
                  <c:v>0.000119020037370188</c:v>
                </c:pt>
                <c:pt idx="7">
                  <c:v>9.47973373688349e-5</c:v>
                </c:pt>
                <c:pt idx="8">
                  <c:v>7.55514687811321e-5</c:v>
                </c:pt>
                <c:pt idx="9">
                  <c:v>6.02607146737988e-5</c:v>
                </c:pt>
                <c:pt idx="10">
                  <c:v>4.81128056506464e-5</c:v>
                </c:pt>
                <c:pt idx="11">
                  <c:v>3.84620959303916e-5</c:v>
                </c:pt>
                <c:pt idx="12">
                  <c:v>3.07954551748146e-5</c:v>
                </c:pt>
                <c:pt idx="13">
                  <c:v>2.47051149648847e-5</c:v>
                </c:pt>
                <c:pt idx="14">
                  <c:v>1.98670632500786e-5</c:v>
                </c:pt>
                <c:pt idx="15">
                  <c:v>1.60238586066619e-5</c:v>
                </c:pt>
                <c:pt idx="16">
                  <c:v>1.29709642027187e-5</c:v>
                </c:pt>
                <c:pt idx="17">
                  <c:v>1.05458828669747e-5</c:v>
                </c:pt>
                <c:pt idx="18">
                  <c:v>8.61952120789766e-6</c:v>
                </c:pt>
                <c:pt idx="19">
                  <c:v>7.08932550441688e-6</c:v>
                </c:pt>
                <c:pt idx="20">
                  <c:v>5.87382735783848e-6</c:v>
                </c:pt>
              </c:numCache>
            </c:numRef>
          </c:val>
          <c:smooth val="0"/>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0.00212832044983897</c:v>
                </c:pt>
                <c:pt idx="1">
                  <c:v>0.00169232161629323</c:v>
                </c:pt>
                <c:pt idx="2">
                  <c:v>0.0013457606080697</c:v>
                </c:pt>
                <c:pt idx="3">
                  <c:v>0.00107032897922788</c:v>
                </c:pt>
                <c:pt idx="4">
                  <c:v>0.000851452067525934</c:v>
                </c:pt>
                <c:pt idx="5">
                  <c:v>0.000677532709442</c:v>
                </c:pt>
                <c:pt idx="6">
                  <c:v>0.000539346235999621</c:v>
                </c:pt>
                <c:pt idx="7">
                  <c:v>0.000429557192899921</c:v>
                </c:pt>
                <c:pt idx="8">
                  <c:v>0.000342333740728566</c:v>
                </c:pt>
                <c:pt idx="9">
                  <c:v>0.000273040274641733</c:v>
                </c:pt>
                <c:pt idx="10">
                  <c:v>0.000217992575224005</c:v>
                </c:pt>
                <c:pt idx="11">
                  <c:v>0.000174262882562804</c:v>
                </c:pt>
                <c:pt idx="12">
                  <c:v>0.000139524785871851</c:v>
                </c:pt>
                <c:pt idx="13">
                  <c:v>0.000111929841027873</c:v>
                </c:pt>
                <c:pt idx="14">
                  <c:v>9.0009454527288e-5</c:v>
                </c:pt>
                <c:pt idx="15">
                  <c:v>7.25968777574519e-5</c:v>
                </c:pt>
                <c:pt idx="16">
                  <c:v>5.87652010258914e-5</c:v>
                </c:pt>
                <c:pt idx="17">
                  <c:v>4.77780728091176e-5</c:v>
                </c:pt>
                <c:pt idx="18">
                  <c:v>3.90505371930145e-5</c:v>
                </c:pt>
                <c:pt idx="19">
                  <c:v>3.21179149297781e-5</c:v>
                </c:pt>
                <c:pt idx="20">
                  <c:v>2.66110778219697e-5</c:v>
                </c:pt>
              </c:numCache>
            </c:numRef>
          </c:val>
          <c:smooth val="0"/>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0.000776818659131706</c:v>
                </c:pt>
                <c:pt idx="1">
                  <c:v>0.000633845031328129</c:v>
                </c:pt>
                <c:pt idx="2">
                  <c:v>0.000490871403524551</c:v>
                </c:pt>
                <c:pt idx="3">
                  <c:v>0.00040044215554591</c:v>
                </c:pt>
                <c:pt idx="4">
                  <c:v>0.00031001290756727</c:v>
                </c:pt>
                <c:pt idx="5">
                  <c:v>0.000252867765049292</c:v>
                </c:pt>
                <c:pt idx="6">
                  <c:v>0.000195722622531314</c:v>
                </c:pt>
                <c:pt idx="7">
                  <c:v>0.000159631137297556</c:v>
                </c:pt>
                <c:pt idx="8">
                  <c:v>0.000123539652063798</c:v>
                </c:pt>
                <c:pt idx="9">
                  <c:v>0.000100753333437398</c:v>
                </c:pt>
                <c:pt idx="10">
                  <c:v>7.79670148109979e-5</c:v>
                </c:pt>
                <c:pt idx="11">
                  <c:v>6.35841781115865e-5</c:v>
                </c:pt>
                <c:pt idx="12">
                  <c:v>4.9201341412175e-5</c:v>
                </c:pt>
                <c:pt idx="13">
                  <c:v>4.01241350089787e-5</c:v>
                </c:pt>
                <c:pt idx="14">
                  <c:v>3.10469286057824e-5</c:v>
                </c:pt>
                <c:pt idx="15">
                  <c:v>2.53187017962286e-5</c:v>
                </c:pt>
                <c:pt idx="16">
                  <c:v>1.95904749866749e-5</c:v>
                </c:pt>
                <c:pt idx="17">
                  <c:v>1.59758510198671e-5</c:v>
                </c:pt>
                <c:pt idx="18">
                  <c:v>1.23612270530593e-5</c:v>
                </c:pt>
                <c:pt idx="19">
                  <c:v>1.00804111946573e-5</c:v>
                </c:pt>
                <c:pt idx="20">
                  <c:v>7.79959533625529e-6</c:v>
                </c:pt>
              </c:numCache>
            </c:numRef>
          </c:val>
          <c:smooth val="0"/>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2.7689e-5</c:v>
                </c:pt>
                <c:pt idx="1">
                  <c:v>1.8946e-5</c:v>
                </c:pt>
                <c:pt idx="2">
                  <c:v>1.2306e-5</c:v>
                </c:pt>
                <c:pt idx="3">
                  <c:v>5.647e-6</c:v>
                </c:pt>
                <c:pt idx="4">
                  <c:v>1.421e-6</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0.000186</c:v>
                </c:pt>
                <c:pt idx="1">
                  <c:v>0.00015</c:v>
                </c:pt>
                <c:pt idx="2">
                  <c:v>0.000121</c:v>
                </c:pt>
                <c:pt idx="3">
                  <c:v>9.8e-5</c:v>
                </c:pt>
                <c:pt idx="4">
                  <c:v>8e-5</c:v>
                </c:pt>
                <c:pt idx="5">
                  <c:v>6.5e-5</c:v>
                </c:pt>
                <c:pt idx="6">
                  <c:v>5.4e-5</c:v>
                </c:pt>
                <c:pt idx="7">
                  <c:v>4.4e-5</c:v>
                </c:pt>
                <c:pt idx="8">
                  <c:v>3.7e-5</c:v>
                </c:pt>
                <c:pt idx="9">
                  <c:v>3.1e-5</c:v>
                </c:pt>
                <c:pt idx="10">
                  <c:v>2.7e-5</c:v>
                </c:pt>
                <c:pt idx="11">
                  <c:v>2.3e-5</c:v>
                </c:pt>
                <c:pt idx="12">
                  <c:v>2e-5</c:v>
                </c:pt>
                <c:pt idx="13">
                  <c:v>1.8e-5</c:v>
                </c:pt>
                <c:pt idx="14">
                  <c:v>1.6e-5</c:v>
                </c:pt>
                <c:pt idx="15">
                  <c:v>1.5e-5</c:v>
                </c:pt>
                <c:pt idx="16">
                  <c:v>1.3e-5</c:v>
                </c:pt>
                <c:pt idx="17">
                  <c:v>1.2e-5</c:v>
                </c:pt>
                <c:pt idx="18">
                  <c:v>1.2e-5</c:v>
                </c:pt>
                <c:pt idx="19">
                  <c:v>1.1e-5</c:v>
                </c:pt>
                <c:pt idx="20">
                  <c:v>1.1e-5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0.292275768411506</c:v>
                </c:pt>
                <c:pt idx="1">
                  <c:v>0.23247896540382</c:v>
                </c:pt>
                <c:pt idx="2">
                  <c:v>0.184919962124767</c:v>
                </c:pt>
                <c:pt idx="3">
                  <c:v>0.147104119508173</c:v>
                </c:pt>
                <c:pt idx="4">
                  <c:v>0.117041671780819</c:v>
                </c:pt>
                <c:pt idx="5">
                  <c:v>0.0931468970897715</c:v>
                </c:pt>
                <c:pt idx="6">
                  <c:v>0.0741569247696031</c:v>
                </c:pt>
                <c:pt idx="7">
                  <c:v>0.0590665423065939</c:v>
                </c:pt>
                <c:pt idx="8">
                  <c:v>0.0470759670874024</c:v>
                </c:pt>
                <c:pt idx="9">
                  <c:v>0.0375490789764545</c:v>
                </c:pt>
                <c:pt idx="10">
                  <c:v>0.0299800653562445</c:v>
                </c:pt>
                <c:pt idx="11">
                  <c:v>0.0239668137887208</c:v>
                </c:pt>
                <c:pt idx="12">
                  <c:v>0.0191897058909584</c:v>
                </c:pt>
                <c:pt idx="13">
                  <c:v>0.0153947277360156</c:v>
                </c:pt>
                <c:pt idx="14">
                  <c:v>0.0123800255521739</c:v>
                </c:pt>
                <c:pt idx="15">
                  <c:v>0.00998520858795582</c:v>
                </c:pt>
                <c:pt idx="16">
                  <c:v>0.00808284074214699</c:v>
                </c:pt>
                <c:pt idx="17">
                  <c:v>0.00657167496968372</c:v>
                </c:pt>
                <c:pt idx="18">
                  <c:v>0.00537127466196873</c:v>
                </c:pt>
                <c:pt idx="19">
                  <c:v>0.00441773840597119</c:v>
                </c:pt>
                <c:pt idx="20">
                  <c:v>0.00366030223992194</c:v>
                </c:pt>
              </c:numCache>
            </c:numRef>
          </c:val>
          <c:smooth val="0"/>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0.00529682725427527</c:v>
                </c:pt>
                <c:pt idx="1">
                  <c:v>0.00432441765085279</c:v>
                </c:pt>
                <c:pt idx="2">
                  <c:v>0.0033520080474303</c:v>
                </c:pt>
                <c:pt idx="3">
                  <c:v>0.0027354961389725</c:v>
                </c:pt>
                <c:pt idx="4">
                  <c:v>0.00211898423051471</c:v>
                </c:pt>
                <c:pt idx="5">
                  <c:v>0.00172879169814677</c:v>
                </c:pt>
                <c:pt idx="6">
                  <c:v>0.00133859916577883</c:v>
                </c:pt>
                <c:pt idx="7">
                  <c:v>0.00109192143833425</c:v>
                </c:pt>
                <c:pt idx="8">
                  <c:v>0.000845243710889676</c:v>
                </c:pt>
                <c:pt idx="9">
                  <c:v>0.000689407009818455</c:v>
                </c:pt>
                <c:pt idx="10">
                  <c:v>0.000533570308747233</c:v>
                </c:pt>
                <c:pt idx="11">
                  <c:v>0.000435166594536796</c:v>
                </c:pt>
                <c:pt idx="12">
                  <c:v>0.000336762880326358</c:v>
                </c:pt>
                <c:pt idx="13">
                  <c:v>0.000274643432734978</c:v>
                </c:pt>
                <c:pt idx="14">
                  <c:v>0.000212523985143598</c:v>
                </c:pt>
                <c:pt idx="15">
                  <c:v>0.000173316940532686</c:v>
                </c:pt>
                <c:pt idx="16">
                  <c:v>0.000134109895921775</c:v>
                </c:pt>
                <c:pt idx="17">
                  <c:v>0.000109367011186245</c:v>
                </c:pt>
                <c:pt idx="18">
                  <c:v>8.46241264507164e-5</c:v>
                </c:pt>
                <c:pt idx="19">
                  <c:v>6.90104651035473e-5</c:v>
                </c:pt>
                <c:pt idx="20">
                  <c:v>5.33968037563781e-5</c:v>
                </c:pt>
              </c:numCache>
            </c:numRef>
          </c:val>
          <c:smooth val="0"/>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0.00268</c:v>
                </c:pt>
                <c:pt idx="1">
                  <c:v>0.00165</c:v>
                </c:pt>
                <c:pt idx="2">
                  <c:v>0.00125</c:v>
                </c:pt>
                <c:pt idx="3">
                  <c:v>0.00089</c:v>
                </c:pt>
                <c:pt idx="4">
                  <c:v>0.00052046</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0.0536409205769596</c:v>
                </c:pt>
                <c:pt idx="1">
                  <c:v>0.0426592456482422</c:v>
                </c:pt>
                <c:pt idx="2">
                  <c:v>0.0339277127125543</c:v>
                </c:pt>
                <c:pt idx="3">
                  <c:v>0.0269866493909408</c:v>
                </c:pt>
                <c:pt idx="4">
                  <c:v>0.0214697794336768</c:v>
                </c:pt>
                <c:pt idx="5">
                  <c:v>0.0170854338847917</c:v>
                </c:pt>
                <c:pt idx="6">
                  <c:v>0.0136014728458963</c:v>
                </c:pt>
                <c:pt idx="7">
                  <c:v>0.0108332107600584</c:v>
                </c:pt>
                <c:pt idx="8">
                  <c:v>0.00863376318589526</c:v>
                </c:pt>
                <c:pt idx="9">
                  <c:v>0.00688633972297295</c:v>
                </c:pt>
                <c:pt idx="10">
                  <c:v>0.00549809722044884</c:v>
                </c:pt>
                <c:pt idx="11">
                  <c:v>0.00439524148976762</c:v>
                </c:pt>
                <c:pt idx="12">
                  <c:v>0.00351912651888895</c:v>
                </c:pt>
                <c:pt idx="13">
                  <c:v>0.00282314968717053</c:v>
                </c:pt>
                <c:pt idx="14">
                  <c:v>0.00227028157867094</c:v>
                </c:pt>
                <c:pt idx="15">
                  <c:v>0.00183110133668004</c:v>
                </c:pt>
                <c:pt idx="16">
                  <c:v>0.00148223450760584</c:v>
                </c:pt>
                <c:pt idx="17">
                  <c:v>0.00120511117693158</c:v>
                </c:pt>
                <c:pt idx="18">
                  <c:v>0.000984978890685857</c:v>
                </c:pt>
                <c:pt idx="19">
                  <c:v>0.000810118192889402</c:v>
                </c:pt>
                <c:pt idx="20">
                  <c:v>0.00067121925343765</c:v>
                </c:pt>
              </c:numCache>
            </c:numRef>
          </c:val>
          <c:smooth val="0"/>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0.0010036172052752</c:v>
                </c:pt>
                <c:pt idx="1">
                  <c:v>0.000818484350467719</c:v>
                </c:pt>
                <c:pt idx="2">
                  <c:v>0.000633351495660239</c:v>
                </c:pt>
                <c:pt idx="3">
                  <c:v>0.000516506920295035</c:v>
                </c:pt>
                <c:pt idx="4">
                  <c:v>0.00039966234492983</c:v>
                </c:pt>
                <c:pt idx="5">
                  <c:v>0.000325924994587501</c:v>
                </c:pt>
                <c:pt idx="6">
                  <c:v>0.000252187644245172</c:v>
                </c:pt>
                <c:pt idx="7">
                  <c:v>0.000205657180180063</c:v>
                </c:pt>
                <c:pt idx="8">
                  <c:v>0.000159126716114955</c:v>
                </c:pt>
                <c:pt idx="9">
                  <c:v>0.000129765850753749</c:v>
                </c:pt>
                <c:pt idx="10">
                  <c:v>0.000100404985392544</c:v>
                </c:pt>
                <c:pt idx="11">
                  <c:v>8.18786845990793e-5</c:v>
                </c:pt>
                <c:pt idx="12">
                  <c:v>6.33523838056149e-5</c:v>
                </c:pt>
                <c:pt idx="13">
                  <c:v>5.16627409963277e-5</c:v>
                </c:pt>
                <c:pt idx="14">
                  <c:v>3.99730981870405e-5</c:v>
                </c:pt>
                <c:pt idx="15">
                  <c:v>3.25972978942879e-5</c:v>
                </c:pt>
                <c:pt idx="16">
                  <c:v>2.52214976015352e-5</c:v>
                </c:pt>
                <c:pt idx="17">
                  <c:v>2.05676287057255e-5</c:v>
                </c:pt>
                <c:pt idx="18">
                  <c:v>1.59137598099157e-5</c:v>
                </c:pt>
                <c:pt idx="19">
                  <c:v>1.29773458534821e-5</c:v>
                </c:pt>
                <c:pt idx="20">
                  <c:v>1.00409318970485e-5</c:v>
                </c:pt>
              </c:numCache>
            </c:numRef>
          </c:val>
          <c:smooth val="0"/>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0.000269486</c:v>
                </c:pt>
                <c:pt idx="1">
                  <c:v>0.000178965</c:v>
                </c:pt>
                <c:pt idx="2">
                  <c:v>0.000129687</c:v>
                </c:pt>
                <c:pt idx="3">
                  <c:v>5.9687e-5</c:v>
                </c:pt>
                <c:pt idx="4">
                  <c:v>5.0763e-5</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15424102347551"/>
              <c:y val="0.28342635263866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35015842143238"/>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0.014339934963159</c:v>
                </c:pt>
                <c:pt idx="1">
                  <c:v>0.0135391873917312</c:v>
                </c:pt>
                <c:pt idx="2">
                  <c:v>0.0128866540036188</c:v>
                </c:pt>
                <c:pt idx="3">
                  <c:v>0.0123471091627358</c:v>
                </c:pt>
                <c:pt idx="4">
                  <c:v>0.0119082690014261</c:v>
                </c:pt>
                <c:pt idx="5">
                  <c:v>0.0115636216665438</c:v>
                </c:pt>
                <c:pt idx="6">
                  <c:v>0.011276745441724</c:v>
                </c:pt>
                <c:pt idx="7">
                  <c:v>0.0110458543365111</c:v>
                </c:pt>
                <c:pt idx="8">
                  <c:v>0.0108604797691481</c:v>
                </c:pt>
                <c:pt idx="9">
                  <c:v>0.0107119520366128</c:v>
                </c:pt>
                <c:pt idx="10">
                  <c:v>0.0105931462697884</c:v>
                </c:pt>
                <c:pt idx="11">
                  <c:v>0.01049824461824</c:v>
                </c:pt>
                <c:pt idx="12">
                  <c:v>0.0104225215899589</c:v>
                </c:pt>
                <c:pt idx="13">
                  <c:v>0.0103621555784028</c:v>
                </c:pt>
                <c:pt idx="14">
                  <c:v>0.0103140668774371</c:v>
                </c:pt>
                <c:pt idx="15">
                  <c:v>0.010275780753044</c:v>
                </c:pt>
              </c:numCache>
            </c:numRef>
          </c:val>
          <c:smooth val="0"/>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0.0166949928391724</c:v>
                </c:pt>
                <c:pt idx="1">
                  <c:v>0.015928160872114</c:v>
                </c:pt>
                <c:pt idx="2">
                  <c:v>0.0152942657009492</c:v>
                </c:pt>
                <c:pt idx="3">
                  <c:v>0.0147733613869994</c:v>
                </c:pt>
                <c:pt idx="4">
                  <c:v>0.0143475933336412</c:v>
                </c:pt>
                <c:pt idx="5">
                  <c:v>0.0140019395074908</c:v>
                </c:pt>
                <c:pt idx="6">
                  <c:v>0.0137236258178741</c:v>
                </c:pt>
                <c:pt idx="7">
                  <c:v>0.0134989301249999</c:v>
                </c:pt>
                <c:pt idx="8">
                  <c:v>0.0133180628132834</c:v>
                </c:pt>
                <c:pt idx="9">
                  <c:v>0.0131728369498818</c:v>
                </c:pt>
                <c:pt idx="10">
                  <c:v>0.0130564690848267</c:v>
                </c:pt>
                <c:pt idx="11">
                  <c:v>0.0129633823996445</c:v>
                </c:pt>
                <c:pt idx="12">
                  <c:v>0.012889021812279</c:v>
                </c:pt>
                <c:pt idx="13">
                  <c:v>0.0128296867012656</c:v>
                </c:pt>
                <c:pt idx="14">
                  <c:v>0.0127823838044883</c:v>
                </c:pt>
                <c:pt idx="15">
                  <c:v>0.0127447006500359</c:v>
                </c:pt>
              </c:numCache>
            </c:numRef>
          </c:val>
          <c:smooth val="0"/>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0.0235363680119912</c:v>
                </c:pt>
                <c:pt idx="1">
                  <c:v>0.0221281552029403</c:v>
                </c:pt>
                <c:pt idx="2">
                  <c:v>0.0209750833780487</c:v>
                </c:pt>
                <c:pt idx="3">
                  <c:v>0.0200356898722413</c:v>
                </c:pt>
                <c:pt idx="4">
                  <c:v>0.0192737251805214</c:v>
                </c:pt>
                <c:pt idx="5">
                  <c:v>0.0186579868611864</c:v>
                </c:pt>
                <c:pt idx="6">
                  <c:v>0.0181619815083915</c:v>
                </c:pt>
                <c:pt idx="7">
                  <c:v>0.0177634775588663</c:v>
                </c:pt>
                <c:pt idx="8">
                  <c:v>0.0174440053016931</c:v>
                </c:pt>
                <c:pt idx="9">
                  <c:v>0.0171883483373916</c:v>
                </c:pt>
                <c:pt idx="10">
                  <c:v>0.0169840573240088</c:v>
                </c:pt>
                <c:pt idx="11">
                  <c:v>0.0168210048262452</c:v>
                </c:pt>
                <c:pt idx="12">
                  <c:v>0.0166909906200524</c:v>
                </c:pt>
                <c:pt idx="13">
                  <c:v>0.016587400075814</c:v>
                </c:pt>
                <c:pt idx="14">
                  <c:v>0.016504913900964</c:v>
                </c:pt>
                <c:pt idx="15">
                  <c:v>0.0164392650298126</c:v>
                </c:pt>
                <c:pt idx="16">
                  <c:v>0.016387037266735</c:v>
                </c:pt>
                <c:pt idx="17">
                  <c:v>0.0163454999676239</c:v>
                </c:pt>
                <c:pt idx="18">
                  <c:v>0.0163124732426322</c:v>
                </c:pt>
                <c:pt idx="19">
                  <c:v>0.0162862186416205</c:v>
                </c:pt>
                <c:pt idx="20">
                  <c:v>0.0162653508850979</c:v>
                </c:pt>
              </c:numCache>
            </c:numRef>
          </c:val>
          <c:smooth val="0"/>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c:v>
                </c:pt>
                <c:pt idx="1">
                  <c:v>0.443917811020278</c:v>
                </c:pt>
                <c:pt idx="2">
                  <c:v>0.379173619723366</c:v>
                </c:pt>
                <c:pt idx="3">
                  <c:v>0.314429428426455</c:v>
                </c:pt>
                <c:pt idx="4">
                  <c:v>0.256010153587916</c:v>
                </c:pt>
                <c:pt idx="5">
                  <c:v>0.197590878749376</c:v>
                </c:pt>
                <c:pt idx="6">
                  <c:v>0.166824981321539</c:v>
                </c:pt>
                <c:pt idx="7">
                  <c:v>0.136059083893703</c:v>
                </c:pt>
                <c:pt idx="8">
                  <c:v>0.11414245540432</c:v>
                </c:pt>
                <c:pt idx="9">
                  <c:v>0.0922258269149379</c:v>
                </c:pt>
                <c:pt idx="10">
                  <c:v>0.080895278280313</c:v>
                </c:pt>
                <c:pt idx="11">
                  <c:v>0.0695647296456881</c:v>
                </c:pt>
                <c:pt idx="12">
                  <c:v>0.057965873070509</c:v>
                </c:pt>
                <c:pt idx="13">
                  <c:v>0.04636701649533</c:v>
                </c:pt>
                <c:pt idx="14">
                  <c:v>0.0385020165876437</c:v>
                </c:pt>
                <c:pt idx="15">
                  <c:v>0.0306370166799574</c:v>
                </c:pt>
              </c:numCache>
            </c:numRef>
          </c:val>
          <c:smooth val="0"/>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0.082739</c:v>
                </c:pt>
                <c:pt idx="1">
                  <c:v>0.077104</c:v>
                </c:pt>
                <c:pt idx="2">
                  <c:v>0.07586</c:v>
                </c:pt>
                <c:pt idx="3">
                  <c:v>0.07156</c:v>
                </c:pt>
                <c:pt idx="4">
                  <c:v>0.06765</c:v>
                </c:pt>
                <c:pt idx="5">
                  <c:v>0.06271</c:v>
                </c:pt>
                <c:pt idx="6">
                  <c:v>0.05946</c:v>
                </c:pt>
                <c:pt idx="7">
                  <c:v>0.05672</c:v>
                </c:pt>
                <c:pt idx="8">
                  <c:v>0.03568</c:v>
                </c:pt>
                <c:pt idx="9">
                  <c:v>0.01759</c:v>
                </c:pt>
                <c:pt idx="10">
                  <c:v>0</c:v>
                </c:pt>
              </c:numCache>
            </c:numRef>
          </c:val>
          <c:smooth val="0"/>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0.02602135</c:v>
                </c:pt>
                <c:pt idx="1">
                  <c:v>0.02456985</c:v>
                </c:pt>
                <c:pt idx="2">
                  <c:v>0.02339195</c:v>
                </c:pt>
                <c:pt idx="3">
                  <c:v>0.0224392</c:v>
                </c:pt>
                <c:pt idx="4">
                  <c:v>0.02167075</c:v>
                </c:pt>
                <c:pt idx="5">
                  <c:v>0.02105255</c:v>
                </c:pt>
                <c:pt idx="6">
                  <c:v>0.0205563</c:v>
                </c:pt>
                <c:pt idx="7">
                  <c:v>0.02015865</c:v>
                </c:pt>
                <c:pt idx="8">
                  <c:v>0.0198406</c:v>
                </c:pt>
                <c:pt idx="9">
                  <c:v>0.0195865</c:v>
                </c:pt>
                <c:pt idx="10">
                  <c:v>0.0193837</c:v>
                </c:pt>
                <c:pt idx="11">
                  <c:v>0.019222</c:v>
                </c:pt>
                <c:pt idx="12">
                  <c:v>0.0190932</c:v>
                </c:pt>
                <c:pt idx="13">
                  <c:v>0.01899065</c:v>
                </c:pt>
                <c:pt idx="14">
                  <c:v>0.018909</c:v>
                </c:pt>
                <c:pt idx="15">
                  <c:v>0.01884405</c:v>
                </c:pt>
                <c:pt idx="16">
                  <c:v>0.0187924</c:v>
                </c:pt>
                <c:pt idx="17">
                  <c:v>0.01875135</c:v>
                </c:pt>
                <c:pt idx="18">
                  <c:v>0.0187187</c:v>
                </c:pt>
                <c:pt idx="19">
                  <c:v>0.01869275</c:v>
                </c:pt>
                <c:pt idx="20">
                  <c:v>0.01867215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22299802130468"/>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14156922141"/>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7.30845370324004</c:v>
                </c:pt>
                <c:pt idx="2">
                  <c:v>5.8120971032802</c:v>
                </c:pt>
                <c:pt idx="3">
                  <c:v>4.64013466705192</c:v>
                </c:pt>
                <c:pt idx="4">
                  <c:v>3.87745058637247</c:v>
                </c:pt>
                <c:pt idx="5">
                  <c:v>3.01693176048116</c:v>
                </c:pt>
                <c:pt idx="6">
                  <c:v>2.29067537987108</c:v>
                </c:pt>
                <c:pt idx="7">
                  <c:v>1.75659901610672</c:v>
                </c:pt>
                <c:pt idx="8">
                  <c:v>1.38085194834943</c:v>
                </c:pt>
                <c:pt idx="9">
                  <c:v>1.07535948805658</c:v>
                </c:pt>
                <c:pt idx="10">
                  <c:v>0.903151629200183</c:v>
                </c:pt>
                <c:pt idx="11">
                  <c:v>0.730676132422137</c:v>
                </c:pt>
                <c:pt idx="12">
                  <c:v>0.620039029024311</c:v>
                </c:pt>
                <c:pt idx="13">
                  <c:v>0.483572047617809</c:v>
                </c:pt>
                <c:pt idx="14">
                  <c:v>0.441448688989055</c:v>
                </c:pt>
                <c:pt idx="15">
                  <c:v>0.366848798084607</c:v>
                </c:pt>
                <c:pt idx="16">
                  <c:v>0.34634911227549</c:v>
                </c:pt>
                <c:pt idx="17">
                  <c:v>0.286944036719694</c:v>
                </c:pt>
                <c:pt idx="18">
                  <c:v>0.245057030476981</c:v>
                </c:pt>
                <c:pt idx="19">
                  <c:v>0.187582326122959</c:v>
                </c:pt>
                <c:pt idx="20">
                  <c:v>0.152486687692177</c:v>
                </c:pt>
              </c:numCache>
            </c:numRef>
          </c:val>
          <c:smooth val="0"/>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14.7351134562582</c:v>
                </c:pt>
                <c:pt idx="1">
                  <c:v>12.6520947470989</c:v>
                </c:pt>
                <c:pt idx="2">
                  <c:v>10.7733974138517</c:v>
                </c:pt>
                <c:pt idx="3">
                  <c:v>9.1013241731857</c:v>
                </c:pt>
                <c:pt idx="4">
                  <c:v>7.63267627912111</c:v>
                </c:pt>
                <c:pt idx="5">
                  <c:v>6.35912385669281</c:v>
                </c:pt>
                <c:pt idx="6">
                  <c:v>5.26805226867211</c:v>
                </c:pt>
                <c:pt idx="7">
                  <c:v>4.34372030441151</c:v>
                </c:pt>
                <c:pt idx="8">
                  <c:v>3.568528259711</c:v>
                </c:pt>
                <c:pt idx="9">
                  <c:v>2.92421207700107</c:v>
                </c:pt>
                <c:pt idx="10">
                  <c:v>2.39283550541911</c:v>
                </c:pt>
                <c:pt idx="11">
                  <c:v>1.95751967797937</c:v>
                </c:pt>
                <c:pt idx="12">
                  <c:v>1.60290740560097</c:v>
                </c:pt>
                <c:pt idx="13">
                  <c:v>1.31539746115617</c:v>
                </c:pt>
                <c:pt idx="14">
                  <c:v>1.0832016068398</c:v>
                </c:pt>
                <c:pt idx="15">
                  <c:v>0.896279111558542</c:v>
                </c:pt>
                <c:pt idx="16">
                  <c:v>0.746196444666874</c:v>
                </c:pt>
                <c:pt idx="17">
                  <c:v>0.625949099389652</c:v>
                </c:pt>
                <c:pt idx="18">
                  <c:v>0.529771592309601</c:v>
                </c:pt>
                <c:pt idx="19">
                  <c:v>0.452952382751594</c:v>
                </c:pt>
                <c:pt idx="20">
                  <c:v>0.391663343894303</c:v>
                </c:pt>
              </c:numCache>
            </c:numRef>
          </c:val>
          <c:smooth val="0"/>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11.7608749824203</c:v>
                </c:pt>
                <c:pt idx="2">
                  <c:v>9.85783784586232</c:v>
                </c:pt>
                <c:pt idx="3">
                  <c:v>7.95480070930439</c:v>
                </c:pt>
                <c:pt idx="4">
                  <c:v>6.56665165317578</c:v>
                </c:pt>
                <c:pt idx="5">
                  <c:v>5.17850259704716</c:v>
                </c:pt>
                <c:pt idx="6">
                  <c:v>4.27853536878749</c:v>
                </c:pt>
                <c:pt idx="7">
                  <c:v>3.37856814052782</c:v>
                </c:pt>
                <c:pt idx="8">
                  <c:v>2.76187098022986</c:v>
                </c:pt>
                <c:pt idx="9">
                  <c:v>2.14517381993191</c:v>
                </c:pt>
                <c:pt idx="10">
                  <c:v>1.75425103562578</c:v>
                </c:pt>
                <c:pt idx="11">
                  <c:v>1.36332825131965</c:v>
                </c:pt>
                <c:pt idx="12">
                  <c:v>1.10400002907697</c:v>
                </c:pt>
                <c:pt idx="13">
                  <c:v>0.844671806834285</c:v>
                </c:pt>
                <c:pt idx="14">
                  <c:v>0.687454592415876</c:v>
                </c:pt>
                <c:pt idx="15">
                  <c:v>0.530237377997467</c:v>
                </c:pt>
                <c:pt idx="16">
                  <c:v>0.348288562039512</c:v>
                </c:pt>
                <c:pt idx="17">
                  <c:v>0.166339746081556</c:v>
                </c:pt>
                <c:pt idx="18">
                  <c:v>0.149601727505244</c:v>
                </c:pt>
                <c:pt idx="19">
                  <c:v>0.132863708928932</c:v>
                </c:pt>
                <c:pt idx="20">
                  <c:v>0.106213766107999</c:v>
                </c:pt>
              </c:numCache>
            </c:numRef>
          </c:val>
          <c:smooth val="0"/>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2.3621</c:v>
                </c:pt>
                <c:pt idx="3">
                  <c:v>1.62563</c:v>
                </c:pt>
                <c:pt idx="4">
                  <c:v>1.25104</c:v>
                </c:pt>
                <c:pt idx="5">
                  <c:v>1.15013</c:v>
                </c:pt>
                <c:pt idx="6">
                  <c:v>0.95954</c:v>
                </c:pt>
                <c:pt idx="7">
                  <c:v>0.51178</c:v>
                </c:pt>
                <c:pt idx="8">
                  <c:v>0.48804</c:v>
                </c:pt>
                <c:pt idx="9">
                  <c:v>0.30314</c:v>
                </c:pt>
                <c:pt idx="10">
                  <c:v>0.1777</c:v>
                </c:pt>
              </c:numCache>
            </c:numRef>
          </c:val>
          <c:smooth val="0"/>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12.314756</c:v>
                </c:pt>
                <c:pt idx="1">
                  <c:v>10.665802</c:v>
                </c:pt>
                <c:pt idx="2">
                  <c:v>9.679197</c:v>
                </c:pt>
                <c:pt idx="3">
                  <c:v>8.779181</c:v>
                </c:pt>
                <c:pt idx="4">
                  <c:v>7.511112</c:v>
                </c:pt>
                <c:pt idx="5">
                  <c:v>6.485614</c:v>
                </c:pt>
                <c:pt idx="6">
                  <c:v>5.486703</c:v>
                </c:pt>
                <c:pt idx="7">
                  <c:v>4.324376</c:v>
                </c:pt>
                <c:pt idx="8">
                  <c:v>3.494708</c:v>
                </c:pt>
                <c:pt idx="9">
                  <c:v>3.006626</c:v>
                </c:pt>
                <c:pt idx="10">
                  <c:v>2.035651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c:v>
                </c:pt>
                <c:pt idx="1">
                  <c:v>6.92079722959025</c:v>
                </c:pt>
                <c:pt idx="2">
                  <c:v>5.86258488713989</c:v>
                </c:pt>
                <c:pt idx="3">
                  <c:v>4.94074234797042</c:v>
                </c:pt>
                <c:pt idx="4">
                  <c:v>4.14405902610687</c:v>
                </c:pt>
                <c:pt idx="5">
                  <c:v>3.46085014811677</c:v>
                </c:pt>
                <c:pt idx="6">
                  <c:v>2.87930733849275</c:v>
                </c:pt>
                <c:pt idx="7">
                  <c:v>2.38781232504047</c:v>
                </c:pt>
                <c:pt idx="8">
                  <c:v>1.97520243253577</c:v>
                </c:pt>
                <c:pt idx="9">
                  <c:v>1.6309805432687</c:v>
                </c:pt>
                <c:pt idx="10">
                  <c:v>1.34546662317461</c:v>
                </c:pt>
                <c:pt idx="11">
                  <c:v>1.1098922301825</c:v>
                </c:pt>
                <c:pt idx="12">
                  <c:v>0.916443120564969</c:v>
                </c:pt>
                <c:pt idx="13">
                  <c:v>0.75825776276337</c:v>
                </c:pt>
                <c:pt idx="14">
                  <c:v>0.629391079617225</c:v>
                </c:pt>
                <c:pt idx="15">
                  <c:v>0.524753107072473</c:v>
                </c:pt>
                <c:pt idx="16">
                  <c:v>0.440031682223085</c:v>
                </c:pt>
                <c:pt idx="17">
                  <c:v>0.37160704613538</c:v>
                </c:pt>
                <c:pt idx="18">
                  <c:v>0.316464672073458</c:v>
                </c:pt>
                <c:pt idx="19">
                  <c:v>0.272110971440376</c:v>
                </c:pt>
                <c:pt idx="20">
                  <c:v>0.236494981942181</c:v>
                </c:pt>
              </c:numCache>
            </c:numRef>
          </c:val>
          <c:smooth val="0"/>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c:v>
                </c:pt>
                <c:pt idx="1">
                  <c:v>2.29579065523176</c:v>
                </c:pt>
                <c:pt idx="2">
                  <c:v>1.75345421216442</c:v>
                </c:pt>
                <c:pt idx="3">
                  <c:v>1.33543803471197</c:v>
                </c:pt>
                <c:pt idx="4">
                  <c:v>1.02599906726176</c:v>
                </c:pt>
                <c:pt idx="5">
                  <c:v>0.797861547628331</c:v>
                </c:pt>
                <c:pt idx="6">
                  <c:v>0.6193286411043</c:v>
                </c:pt>
                <c:pt idx="7">
                  <c:v>0.484628161223377</c:v>
                </c:pt>
                <c:pt idx="8">
                  <c:v>0.38269012948754</c:v>
                </c:pt>
                <c:pt idx="9">
                  <c:v>0.303279380936028</c:v>
                </c:pt>
                <c:pt idx="10">
                  <c:v>0.241158154618959</c:v>
                </c:pt>
                <c:pt idx="11">
                  <c:v>0.193485744761013</c:v>
                </c:pt>
                <c:pt idx="12">
                  <c:v>0.156553712232199</c:v>
                </c:pt>
                <c:pt idx="13">
                  <c:v>0.127341090579391</c:v>
                </c:pt>
                <c:pt idx="14">
                  <c:v>0.10405027152367</c:v>
                </c:pt>
                <c:pt idx="15">
                  <c:v>0.0856075906551346</c:v>
                </c:pt>
                <c:pt idx="16">
                  <c:v>0.0709929639145845</c:v>
                </c:pt>
                <c:pt idx="17">
                  <c:v>0.0593226022370108</c:v>
                </c:pt>
                <c:pt idx="18">
                  <c:v>0.0500253449144505</c:v>
                </c:pt>
                <c:pt idx="19">
                  <c:v>0.0426950667571036</c:v>
                </c:pt>
                <c:pt idx="20">
                  <c:v>0.0368546739306641</c:v>
                </c:pt>
              </c:numCache>
            </c:numRef>
          </c:val>
          <c:smooth val="0"/>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c:v>
                </c:pt>
                <c:pt idx="1">
                  <c:v>2.79569981678497</c:v>
                </c:pt>
                <c:pt idx="2">
                  <c:v>2.30235931411208</c:v>
                </c:pt>
                <c:pt idx="3">
                  <c:v>1.90852999174799</c:v>
                </c:pt>
                <c:pt idx="4">
                  <c:v>1.57456996659176</c:v>
                </c:pt>
                <c:pt idx="5">
                  <c:v>1.29362547648231</c:v>
                </c:pt>
                <c:pt idx="6">
                  <c:v>1.05907568418291</c:v>
                </c:pt>
                <c:pt idx="7">
                  <c:v>0.864649607594576</c:v>
                </c:pt>
                <c:pt idx="8">
                  <c:v>0.704529441194367</c:v>
                </c:pt>
                <c:pt idx="9">
                  <c:v>0.573427980355157</c:v>
                </c:pt>
                <c:pt idx="10">
                  <c:v>0.466633653705484</c:v>
                </c:pt>
                <c:pt idx="11">
                  <c:v>0.380022897769148</c:v>
                </c:pt>
                <c:pt idx="12">
                  <c:v>0.310044398775167</c:v>
                </c:pt>
                <c:pt idx="13">
                  <c:v>0.253682310340135</c:v>
                </c:pt>
                <c:pt idx="14">
                  <c:v>0.208406104874717</c:v>
                </c:pt>
                <c:pt idx="15">
                  <c:v>0.172113881046935</c:v>
                </c:pt>
                <c:pt idx="16">
                  <c:v>0.143074440688892</c:v>
                </c:pt>
                <c:pt idx="17">
                  <c:v>0.119871810152195</c:v>
                </c:pt>
                <c:pt idx="18">
                  <c:v>0.101354432437303</c:v>
                </c:pt>
                <c:pt idx="19">
                  <c:v>0.0865901296228376</c:v>
                </c:pt>
                <c:pt idx="20">
                  <c:v>0.0748271424996988</c:v>
                </c:pt>
              </c:numCache>
            </c:numRef>
          </c:val>
          <c:smooth val="0"/>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4.09850653001873</c:v>
                </c:pt>
                <c:pt idx="1">
                  <c:v>3.38650089372372</c:v>
                </c:pt>
                <c:pt idx="2">
                  <c:v>2.85892491581024</c:v>
                </c:pt>
                <c:pt idx="3">
                  <c:v>2.33134893789676</c:v>
                </c:pt>
                <c:pt idx="4">
                  <c:v>1.94990119495786</c:v>
                </c:pt>
                <c:pt idx="5">
                  <c:v>1.56845345201896</c:v>
                </c:pt>
                <c:pt idx="6">
                  <c:v>1.30152963790146</c:v>
                </c:pt>
                <c:pt idx="7">
                  <c:v>1.03460582378395</c:v>
                </c:pt>
                <c:pt idx="8">
                  <c:v>0.853774829258186</c:v>
                </c:pt>
                <c:pt idx="9">
                  <c:v>0.67294383473242</c:v>
                </c:pt>
                <c:pt idx="10">
                  <c:v>0.553080459680572</c:v>
                </c:pt>
                <c:pt idx="11">
                  <c:v>0.433217084628723</c:v>
                </c:pt>
                <c:pt idx="12">
                  <c:v>0.354987175149696</c:v>
                </c:pt>
                <c:pt idx="13">
                  <c:v>0.276757265670669</c:v>
                </c:pt>
                <c:pt idx="14">
                  <c:v>0.226458751008701</c:v>
                </c:pt>
                <c:pt idx="15">
                  <c:v>0.176160236346734</c:v>
                </c:pt>
                <c:pt idx="16">
                  <c:v>0.145835110059162</c:v>
                </c:pt>
                <c:pt idx="17">
                  <c:v>0.115509983771589</c:v>
                </c:pt>
                <c:pt idx="18">
                  <c:v>0.0930179356888716</c:v>
                </c:pt>
                <c:pt idx="19">
                  <c:v>0.0705258876061543</c:v>
                </c:pt>
                <c:pt idx="20">
                  <c:v>0.0575496791136776</c:v>
                </c:pt>
              </c:numCache>
            </c:numRef>
          </c:val>
          <c:smooth val="0"/>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c:v>
                </c:pt>
                <c:pt idx="1">
                  <c:v>1.89331</c:v>
                </c:pt>
                <c:pt idx="2">
                  <c:v>1.41334</c:v>
                </c:pt>
                <c:pt idx="3">
                  <c:v>0.98829</c:v>
                </c:pt>
                <c:pt idx="4">
                  <c:v>0.88668</c:v>
                </c:pt>
                <c:pt idx="5">
                  <c:v>0.78848</c:v>
                </c:pt>
                <c:pt idx="6">
                  <c:v>0.58237</c:v>
                </c:pt>
                <c:pt idx="7">
                  <c:v>0.38139</c:v>
                </c:pt>
                <c:pt idx="8">
                  <c:v>0.34044</c:v>
                </c:pt>
                <c:pt idx="9">
                  <c:v>0.24167</c:v>
                </c:pt>
                <c:pt idx="10">
                  <c:v>0.2344</c:v>
                </c:pt>
              </c:numCache>
            </c:numRef>
          </c:val>
          <c:smooth val="0"/>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c:v>
                </c:pt>
                <c:pt idx="1">
                  <c:v>3.426457</c:v>
                </c:pt>
                <c:pt idx="2">
                  <c:v>3.067896</c:v>
                </c:pt>
                <c:pt idx="3">
                  <c:v>2.622179</c:v>
                </c:pt>
                <c:pt idx="4">
                  <c:v>2.265901</c:v>
                </c:pt>
                <c:pt idx="5">
                  <c:v>1.989496</c:v>
                </c:pt>
                <c:pt idx="6">
                  <c:v>1.650209</c:v>
                </c:pt>
                <c:pt idx="7">
                  <c:v>1.346703</c:v>
                </c:pt>
                <c:pt idx="8">
                  <c:v>1.047875</c:v>
                </c:pt>
                <c:pt idx="9">
                  <c:v>0.782817</c:v>
                </c:pt>
                <c:pt idx="10">
                  <c:v>0.619627</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37.9595734338075</c:v>
                </c:pt>
                <c:pt idx="1">
                  <c:v>33.4470019181625</c:v>
                </c:pt>
                <c:pt idx="2">
                  <c:v>29.1660684100514</c:v>
                </c:pt>
                <c:pt idx="3">
                  <c:v>25.2077836979816</c:v>
                </c:pt>
                <c:pt idx="4">
                  <c:v>21.5600438612399</c:v>
                </c:pt>
                <c:pt idx="5">
                  <c:v>18.3345293885482</c:v>
                </c:pt>
                <c:pt idx="6">
                  <c:v>15.4076954640879</c:v>
                </c:pt>
                <c:pt idx="7">
                  <c:v>12.8168992072357</c:v>
                </c:pt>
                <c:pt idx="8">
                  <c:v>10.5338777951233</c:v>
                </c:pt>
                <c:pt idx="9">
                  <c:v>8.68156349469922</c:v>
                </c:pt>
                <c:pt idx="10">
                  <c:v>7.01855084183608</c:v>
                </c:pt>
                <c:pt idx="11">
                  <c:v>5.68284766241946</c:v>
                </c:pt>
                <c:pt idx="12">
                  <c:v>4.5731039469555</c:v>
                </c:pt>
                <c:pt idx="13">
                  <c:v>3.70081217216306</c:v>
                </c:pt>
                <c:pt idx="14">
                  <c:v>2.96688887050021</c:v>
                </c:pt>
                <c:pt idx="15">
                  <c:v>2.38038538330859</c:v>
                </c:pt>
                <c:pt idx="16">
                  <c:v>1.90207984322957</c:v>
                </c:pt>
                <c:pt idx="17">
                  <c:v>1.53043781105781</c:v>
                </c:pt>
                <c:pt idx="18">
                  <c:v>1.26834957967668</c:v>
                </c:pt>
                <c:pt idx="19">
                  <c:v>1.04131082438049</c:v>
                </c:pt>
                <c:pt idx="20">
                  <c:v>0.907613674272612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c:v>
                </c:pt>
                <c:pt idx="2">
                  <c:v>9.5675534983518</c:v>
                </c:pt>
                <c:pt idx="3">
                  <c:v>8.08312958125255</c:v>
                </c:pt>
                <c:pt idx="4">
                  <c:v>6.79427291908359</c:v>
                </c:pt>
                <c:pt idx="5">
                  <c:v>5.6846160543262</c:v>
                </c:pt>
                <c:pt idx="6">
                  <c:v>4.73691286730977</c:v>
                </c:pt>
                <c:pt idx="7">
                  <c:v>3.93368193218862</c:v>
                </c:pt>
                <c:pt idx="8">
                  <c:v>3.25775638713564</c:v>
                </c:pt>
                <c:pt idx="9">
                  <c:v>2.69272667389283</c:v>
                </c:pt>
                <c:pt idx="10">
                  <c:v>2.22327114051598</c:v>
                </c:pt>
                <c:pt idx="11">
                  <c:v>1.83537759952129</c:v>
                </c:pt>
                <c:pt idx="12">
                  <c:v>1.51646568044984</c:v>
                </c:pt>
                <c:pt idx="13">
                  <c:v>1.25542462583844</c:v>
                </c:pt>
                <c:pt idx="14">
                  <c:v>1.04258381688317</c:v>
                </c:pt>
                <c:pt idx="15">
                  <c:v>0.86963389546344</c:v>
                </c:pt>
                <c:pt idx="16">
                  <c:v>0.729515254287438</c:v>
                </c:pt>
                <c:pt idx="17">
                  <c:v>0.616288419962607</c:v>
                </c:pt>
                <c:pt idx="18">
                  <c:v>0.524997997629806</c:v>
                </c:pt>
                <c:pt idx="19">
                  <c:v>0.451538849434041</c:v>
                </c:pt>
                <c:pt idx="20">
                  <c:v>0.392530386884249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c:v>
                </c:pt>
                <c:pt idx="1">
                  <c:v>27.7625762323547</c:v>
                </c:pt>
                <c:pt idx="2">
                  <c:v>24.5623207378577</c:v>
                </c:pt>
                <c:pt idx="3">
                  <c:v>21.5566596665576</c:v>
                </c:pt>
                <c:pt idx="4">
                  <c:v>18.7126444486289</c:v>
                </c:pt>
                <c:pt idx="5">
                  <c:v>16.0390190817151</c:v>
                </c:pt>
                <c:pt idx="6">
                  <c:v>13.628836351887</c:v>
                </c:pt>
                <c:pt idx="7">
                  <c:v>11.4638137059233</c:v>
                </c:pt>
                <c:pt idx="8">
                  <c:v>9.53001648307852</c:v>
                </c:pt>
                <c:pt idx="9">
                  <c:v>7.83893583728812</c:v>
                </c:pt>
                <c:pt idx="10">
                  <c:v>6.34715353727033</c:v>
                </c:pt>
                <c:pt idx="11">
                  <c:v>5.14934698067694</c:v>
                </c:pt>
                <c:pt idx="12">
                  <c:v>4.11957608113396</c:v>
                </c:pt>
                <c:pt idx="13">
                  <c:v>3.28342638697003</c:v>
                </c:pt>
                <c:pt idx="14">
                  <c:v>2.5669505349486</c:v>
                </c:pt>
                <c:pt idx="15">
                  <c:v>2.05852269586495</c:v>
                </c:pt>
                <c:pt idx="16">
                  <c:v>1.68755887147632</c:v>
                </c:pt>
                <c:pt idx="17">
                  <c:v>1.43046230216789</c:v>
                </c:pt>
                <c:pt idx="18">
                  <c:v>1.19806277582128</c:v>
                </c:pt>
                <c:pt idx="19">
                  <c:v>1.02688058305495</c:v>
                </c:pt>
                <c:pt idx="20">
                  <c:v>0.894953653444386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4.78175357449389</c:v>
                </c:pt>
                <c:pt idx="1">
                  <c:v>4.77759306745513</c:v>
                </c:pt>
                <c:pt idx="2">
                  <c:v>4.77428796119153</c:v>
                </c:pt>
                <c:pt idx="3">
                  <c:v>4.77166243388343</c:v>
                </c:pt>
                <c:pt idx="4">
                  <c:v>4.76957678472538</c:v>
                </c:pt>
                <c:pt idx="5">
                  <c:v>4.76792001981898</c:v>
                </c:pt>
                <c:pt idx="6">
                  <c:v>4.76660395741833</c:v>
                </c:pt>
                <c:pt idx="7">
                  <c:v>4.6471955449755</c:v>
                </c:pt>
                <c:pt idx="8">
                  <c:v>3.76115551641624</c:v>
                </c:pt>
                <c:pt idx="9">
                  <c:v>3.04410652963483</c:v>
                </c:pt>
                <c:pt idx="10">
                  <c:v>2.46594358428697</c:v>
                </c:pt>
                <c:pt idx="11">
                  <c:v>2.00114979834958</c:v>
                </c:pt>
                <c:pt idx="12">
                  <c:v>1.8056922905008</c:v>
                </c:pt>
                <c:pt idx="13">
                  <c:v>1.80569229049812</c:v>
                </c:pt>
                <c:pt idx="14">
                  <c:v>1.805692290496</c:v>
                </c:pt>
                <c:pt idx="15">
                  <c:v>1.80569229049429</c:v>
                </c:pt>
              </c:numCache>
            </c:numRef>
          </c:val>
          <c:smooth val="0"/>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2.86351211097556</c:v>
                </c:pt>
                <c:pt idx="1">
                  <c:v>2.86351203078645</c:v>
                </c:pt>
                <c:pt idx="2">
                  <c:v>2.86351196708999</c:v>
                </c:pt>
                <c:pt idx="3">
                  <c:v>2.856366257378</c:v>
                </c:pt>
                <c:pt idx="4">
                  <c:v>2.85636615142878</c:v>
                </c:pt>
                <c:pt idx="5">
                  <c:v>2.85636606727034</c:v>
                </c:pt>
                <c:pt idx="6">
                  <c:v>2.53634222008515</c:v>
                </c:pt>
                <c:pt idx="7">
                  <c:v>2.53634221978863</c:v>
                </c:pt>
                <c:pt idx="8">
                  <c:v>2.43624484248659</c:v>
                </c:pt>
                <c:pt idx="9">
                  <c:v>2.38873453129532</c:v>
                </c:pt>
                <c:pt idx="10">
                  <c:v>2.38832467585551</c:v>
                </c:pt>
                <c:pt idx="11">
                  <c:v>2.38799911332199</c:v>
                </c:pt>
                <c:pt idx="12">
                  <c:v>2.38774050805193</c:v>
                </c:pt>
                <c:pt idx="13">
                  <c:v>2.38753508947529</c:v>
                </c:pt>
                <c:pt idx="14">
                  <c:v>2.38737191900021</c:v>
                </c:pt>
                <c:pt idx="15">
                  <c:v>2.38724230764331</c:v>
                </c:pt>
              </c:numCache>
            </c:numRef>
          </c:val>
          <c:smooth val="0"/>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c:v>
                </c:pt>
                <c:pt idx="1">
                  <c:v>4.72871021278078</c:v>
                </c:pt>
                <c:pt idx="2">
                  <c:v>4.43611546538873</c:v>
                </c:pt>
                <c:pt idx="3">
                  <c:v>4.20073691301803</c:v>
                </c:pt>
                <c:pt idx="4">
                  <c:v>4.01185713965673</c:v>
                </c:pt>
                <c:pt idx="5">
                  <c:v>3.86059608845529</c:v>
                </c:pt>
                <c:pt idx="6">
                  <c:v>3.73965863985569</c:v>
                </c:pt>
                <c:pt idx="7">
                  <c:v>3.64309252598844</c:v>
                </c:pt>
                <c:pt idx="8">
                  <c:v>3.56606757812832</c:v>
                </c:pt>
                <c:pt idx="9">
                  <c:v>3.50468122992073</c:v>
                </c:pt>
                <c:pt idx="10">
                  <c:v>3.4557913120363</c:v>
                </c:pt>
                <c:pt idx="11">
                  <c:v>3.4168748863798</c:v>
                </c:pt>
                <c:pt idx="12">
                  <c:v>3.38591067471406</c:v>
                </c:pt>
                <c:pt idx="13">
                  <c:v>3.36128214830523</c:v>
                </c:pt>
                <c:pt idx="14">
                  <c:v>3.34169828316477</c:v>
                </c:pt>
                <c:pt idx="15">
                  <c:v>3.32612916087655</c:v>
                </c:pt>
                <c:pt idx="16">
                  <c:v>3.31375388616168</c:v>
                </c:pt>
                <c:pt idx="17">
                  <c:v>3.30391862465908</c:v>
                </c:pt>
                <c:pt idx="18">
                  <c:v>3.29610289483765</c:v>
                </c:pt>
                <c:pt idx="19">
                  <c:v>3.28989255376418</c:v>
                </c:pt>
                <c:pt idx="20">
                  <c:v>3.28495818740913</c:v>
                </c:pt>
              </c:numCache>
            </c:numRef>
          </c:val>
          <c:smooth val="0"/>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3.64795693114456</c:v>
                </c:pt>
                <c:pt idx="2">
                  <c:v>2.94118119331138</c:v>
                </c:pt>
                <c:pt idx="3">
                  <c:v>2.23440545547819</c:v>
                </c:pt>
                <c:pt idx="4">
                  <c:v>1.80690809704945</c:v>
                </c:pt>
                <c:pt idx="5">
                  <c:v>1.37941073862071</c:v>
                </c:pt>
                <c:pt idx="6">
                  <c:v>1.37941073862071</c:v>
                </c:pt>
                <c:pt idx="7">
                  <c:v>1.37941073862071</c:v>
                </c:pt>
                <c:pt idx="8">
                  <c:v>0.952190123122026</c:v>
                </c:pt>
                <c:pt idx="9">
                  <c:v>0.524969507623341</c:v>
                </c:pt>
                <c:pt idx="10">
                  <c:v>0.524969507623341</c:v>
                </c:pt>
                <c:pt idx="11">
                  <c:v>0.524969507623341</c:v>
                </c:pt>
                <c:pt idx="12">
                  <c:v>0.384725357894711</c:v>
                </c:pt>
                <c:pt idx="13">
                  <c:v>0.244481208166081</c:v>
                </c:pt>
                <c:pt idx="14">
                  <c:v>0.176220222213208</c:v>
                </c:pt>
                <c:pt idx="15">
                  <c:v>0.107959236260335</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c:v>
                </c:pt>
                <c:pt idx="2">
                  <c:v>7.70267880933331</c:v>
                </c:pt>
                <c:pt idx="3">
                  <c:v>6.59199230654842</c:v>
                </c:pt>
                <c:pt idx="4">
                  <c:v>5.61393279574635</c:v>
                </c:pt>
                <c:pt idx="5">
                  <c:v>4.75892767332957</c:v>
                </c:pt>
                <c:pt idx="6">
                  <c:v>4.01684754087628</c:v>
                </c:pt>
                <c:pt idx="7">
                  <c:v>3.37730473897705</c:v>
                </c:pt>
                <c:pt idx="8">
                  <c:v>2.82992032627245</c:v>
                </c:pt>
                <c:pt idx="9">
                  <c:v>2.36455246156287</c:v>
                </c:pt>
                <c:pt idx="10">
                  <c:v>1.97148260797017</c:v>
                </c:pt>
                <c:pt idx="11">
                  <c:v>1.64155904233463</c:v>
                </c:pt>
                <c:pt idx="12">
                  <c:v>1.36629954012861</c:v>
                </c:pt>
                <c:pt idx="13">
                  <c:v>1.13795673881988</c:v>
                </c:pt>
                <c:pt idx="14">
                  <c:v>0.94955064273422</c:v>
                </c:pt>
                <c:pt idx="15">
                  <c:v>0.79487318200967</c:v>
                </c:pt>
                <c:pt idx="16">
                  <c:v>0.668469848302777</c:v>
                </c:pt>
                <c:pt idx="17">
                  <c:v>0.565603335509812</c:v>
                </c:pt>
                <c:pt idx="18">
                  <c:v>0.482203895020461</c:v>
                </c:pt>
                <c:pt idx="19">
                  <c:v>0.414810799847976</c:v>
                </c:pt>
                <c:pt idx="20">
                  <c:v>0.36050889616478</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49.222481277433</c:v>
                </c:pt>
                <c:pt idx="1">
                  <c:v>44.5556709698493</c:v>
                </c:pt>
                <c:pt idx="2">
                  <c:v>39.9686983426153</c:v>
                </c:pt>
                <c:pt idx="3">
                  <c:v>35.5010180232106</c:v>
                </c:pt>
                <c:pt idx="4">
                  <c:v>31.3428908147353</c:v>
                </c:pt>
                <c:pt idx="5">
                  <c:v>27.3712152986893</c:v>
                </c:pt>
                <c:pt idx="6">
                  <c:v>23.6527487735453</c:v>
                </c:pt>
                <c:pt idx="7">
                  <c:v>20.2066163873332</c:v>
                </c:pt>
                <c:pt idx="8">
                  <c:v>17.1714510331424</c:v>
                </c:pt>
                <c:pt idx="9">
                  <c:v>14.3874299613384</c:v>
                </c:pt>
                <c:pt idx="10">
                  <c:v>11.9327416136693</c:v>
                </c:pt>
                <c:pt idx="11">
                  <c:v>9.82837281189306</c:v>
                </c:pt>
                <c:pt idx="12">
                  <c:v>8.09374120830331</c:v>
                </c:pt>
                <c:pt idx="13">
                  <c:v>6.60986264654098</c:v>
                </c:pt>
                <c:pt idx="14">
                  <c:v>5.35012876863552</c:v>
                </c:pt>
                <c:pt idx="15">
                  <c:v>4.31163055056875</c:v>
                </c:pt>
                <c:pt idx="16">
                  <c:v>3.5204877292736</c:v>
                </c:pt>
                <c:pt idx="17">
                  <c:v>2.85014842858194</c:v>
                </c:pt>
                <c:pt idx="18">
                  <c:v>2.31589515829764</c:v>
                </c:pt>
                <c:pt idx="19">
                  <c:v>1.91960791201332</c:v>
                </c:pt>
                <c:pt idx="20">
                  <c:v>1.61892658407751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16.4433023924347</c:v>
                </c:pt>
                <c:pt idx="1">
                  <c:v>14.2742230790024</c:v>
                </c:pt>
                <c:pt idx="2">
                  <c:v>12.3210525790949</c:v>
                </c:pt>
                <c:pt idx="3">
                  <c:v>10.5769628552072</c:v>
                </c:pt>
                <c:pt idx="4">
                  <c:v>9.03229508505828</c:v>
                </c:pt>
                <c:pt idx="5">
                  <c:v>7.67517611825174</c:v>
                </c:pt>
                <c:pt idx="6">
                  <c:v>6.49213023509454</c:v>
                </c:pt>
                <c:pt idx="7">
                  <c:v>5.46865877735063</c:v>
                </c:pt>
                <c:pt idx="8">
                  <c:v>4.58976606892565</c:v>
                </c:pt>
                <c:pt idx="9">
                  <c:v>3.84041677257637</c:v>
                </c:pt>
                <c:pt idx="10">
                  <c:v>3.20591660083345</c:v>
                </c:pt>
                <c:pt idx="11">
                  <c:v>2.67221430747984</c:v>
                </c:pt>
                <c:pt idx="12">
                  <c:v>2.22612760775736</c:v>
                </c:pt>
                <c:pt idx="13">
                  <c:v>1.85549895760802</c:v>
                </c:pt>
                <c:pt idx="14">
                  <c:v>1.54928910554132</c:v>
                </c:pt>
                <c:pt idx="15">
                  <c:v>1.2976173093655</c:v>
                </c:pt>
                <c:pt idx="16">
                  <c:v>1.09175740265418</c:v>
                </c:pt>
                <c:pt idx="17">
                  <c:v>0.924098761833525</c:v>
                </c:pt>
                <c:pt idx="18">
                  <c:v>0.78808082727968</c:v>
                </c:pt>
                <c:pt idx="19">
                  <c:v>0.678109240496927</c:v>
                </c:pt>
                <c:pt idx="20">
                  <c:v>0.589460883442616</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c:v>
                </c:pt>
                <c:pt idx="1">
                  <c:v>1.18140792287185</c:v>
                </c:pt>
                <c:pt idx="2">
                  <c:v>1.18119697880358</c:v>
                </c:pt>
                <c:pt idx="3">
                  <c:v>1.16420838371971</c:v>
                </c:pt>
                <c:pt idx="4">
                  <c:v>1.11859929555466</c:v>
                </c:pt>
                <c:pt idx="5">
                  <c:v>1.116661980558</c:v>
                </c:pt>
                <c:pt idx="6">
                  <c:v>1.11069649180855</c:v>
                </c:pt>
                <c:pt idx="7">
                  <c:v>1.09685942770789</c:v>
                </c:pt>
                <c:pt idx="8">
                  <c:v>1.09561421323905</c:v>
                </c:pt>
                <c:pt idx="9">
                  <c:v>1.090454105917</c:v>
                </c:pt>
                <c:pt idx="10">
                  <c:v>1.08125576501444</c:v>
                </c:pt>
                <c:pt idx="11">
                  <c:v>1.08116101297141</c:v>
                </c:pt>
                <c:pt idx="12">
                  <c:v>1.08108574861042</c:v>
                </c:pt>
                <c:pt idx="13">
                  <c:v>1.08049615671998</c:v>
                </c:pt>
                <c:pt idx="14">
                  <c:v>1.07936699993199</c:v>
                </c:pt>
              </c:numCache>
            </c:numRef>
          </c:val>
          <c:smooth val="0"/>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c:v>
                </c:pt>
                <c:pt idx="1">
                  <c:v>0.446474065310853</c:v>
                </c:pt>
                <c:pt idx="2">
                  <c:v>0.445847887971185</c:v>
                </c:pt>
                <c:pt idx="3">
                  <c:v>0.445350491527852</c:v>
                </c:pt>
                <c:pt idx="4">
                  <c:v>0.44495539163848</c:v>
                </c:pt>
                <c:pt idx="5">
                  <c:v>0.444641550211311</c:v>
                </c:pt>
                <c:pt idx="6">
                  <c:v>0.444392255571524</c:v>
                </c:pt>
                <c:pt idx="7">
                  <c:v>0.444194232833139</c:v>
                </c:pt>
                <c:pt idx="8">
                  <c:v>0.444036937170611</c:v>
                </c:pt>
                <c:pt idx="9">
                  <c:v>0.443911992399604</c:v>
                </c:pt>
                <c:pt idx="10">
                  <c:v>0.443812744997263</c:v>
                </c:pt>
                <c:pt idx="11">
                  <c:v>0.443733909830057</c:v>
                </c:pt>
                <c:pt idx="12">
                  <c:v>0.443671288734104</c:v>
                </c:pt>
                <c:pt idx="13">
                  <c:v>0.44362154696852</c:v>
                </c:pt>
                <c:pt idx="14">
                  <c:v>0.44358203564111</c:v>
                </c:pt>
              </c:numCache>
            </c:numRef>
          </c:val>
          <c:smooth val="0"/>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1.13424802398525</c:v>
                </c:pt>
                <c:pt idx="1">
                  <c:v>1.08796031370186</c:v>
                </c:pt>
                <c:pt idx="2">
                  <c:v>1.05115955471885</c:v>
                </c:pt>
                <c:pt idx="3">
                  <c:v>1.02190674602796</c:v>
                </c:pt>
                <c:pt idx="4">
                  <c:v>0.998657196646999</c:v>
                </c:pt>
                <c:pt idx="5">
                  <c:v>0.980181076633503</c:v>
                </c:pt>
                <c:pt idx="6">
                  <c:v>0.965499703133593</c:v>
                </c:pt>
                <c:pt idx="7">
                  <c:v>0.953834546962304</c:v>
                </c:pt>
                <c:pt idx="8">
                  <c:v>0.944566484201564</c:v>
                </c:pt>
                <c:pt idx="9">
                  <c:v>0.937203274921111</c:v>
                </c:pt>
                <c:pt idx="10">
                  <c:v>0.931353633436712</c:v>
                </c:pt>
                <c:pt idx="11">
                  <c:v>0.926706570166833</c:v>
                </c:pt>
                <c:pt idx="12">
                  <c:v>0.923014943481493</c:v>
                </c:pt>
                <c:pt idx="13">
                  <c:v>0.920082369960532</c:v>
                </c:pt>
                <c:pt idx="14">
                  <c:v>0.917752811363469</c:v>
                </c:pt>
                <c:pt idx="15">
                  <c:v>0.915902293492743</c:v>
                </c:pt>
                <c:pt idx="16">
                  <c:v>0.914432322082881</c:v>
                </c:pt>
                <c:pt idx="17">
                  <c:v>0.91326464896126</c:v>
                </c:pt>
                <c:pt idx="18">
                  <c:v>0.91233711220337</c:v>
                </c:pt>
                <c:pt idx="19">
                  <c:v>0.9116003302993</c:v>
                </c:pt>
                <c:pt idx="20">
                  <c:v>0.911015075258019</c:v>
                </c:pt>
              </c:numCache>
            </c:numRef>
          </c:val>
          <c:smooth val="0"/>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0.0279978459999719</c:v>
                </c:pt>
                <c:pt idx="1">
                  <c:v>0.0242172392879547</c:v>
                </c:pt>
                <c:pt idx="2">
                  <c:v>0.0204366325759375</c:v>
                </c:pt>
                <c:pt idx="3">
                  <c:v>0.0208151598468764</c:v>
                </c:pt>
                <c:pt idx="4">
                  <c:v>0.0211936871178153</c:v>
                </c:pt>
                <c:pt idx="5">
                  <c:v>0.0172841060880891</c:v>
                </c:pt>
                <c:pt idx="6">
                  <c:v>0.0133745250583628</c:v>
                </c:pt>
                <c:pt idx="7">
                  <c:v>0.010907080472794</c:v>
                </c:pt>
                <c:pt idx="8">
                  <c:v>0.00843963588722518</c:v>
                </c:pt>
                <c:pt idx="9">
                  <c:v>0.00511075652537274</c:v>
                </c:pt>
                <c:pt idx="10">
                  <c:v>0.0017818771635203</c:v>
                </c:pt>
                <c:pt idx="11">
                  <c:v>0.00145309053865006</c:v>
                </c:pt>
                <c:pt idx="12">
                  <c:v>0.00112430391377982</c:v>
                </c:pt>
                <c:pt idx="13">
                  <c:v>0.000916848934356951</c:v>
                </c:pt>
                <c:pt idx="14">
                  <c:v>0.000709393954934079</c:v>
                </c:pt>
              </c:numCache>
            </c:numRef>
          </c:val>
          <c:smooth val="0"/>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c:v>
                </c:pt>
                <c:pt idx="1">
                  <c:v>0.5071</c:v>
                </c:pt>
                <c:pt idx="2">
                  <c:v>0.41334</c:v>
                </c:pt>
                <c:pt idx="3">
                  <c:v>0.40871</c:v>
                </c:pt>
                <c:pt idx="4">
                  <c:v>0.31313</c:v>
                </c:pt>
                <c:pt idx="5">
                  <c:v>0.30478</c:v>
                </c:pt>
                <c:pt idx="6">
                  <c:v>0.29602</c:v>
                </c:pt>
                <c:pt idx="7">
                  <c:v>0.27195</c:v>
                </c:pt>
                <c:pt idx="8">
                  <c:v>0.24527</c:v>
                </c:pt>
                <c:pt idx="9">
                  <c:v>0.23587</c:v>
                </c:pt>
                <c:pt idx="10">
                  <c:v>0.22464</c:v>
                </c:pt>
              </c:numCache>
            </c:numRef>
          </c:val>
          <c:smooth val="0"/>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c:v>
                </c:pt>
                <c:pt idx="1">
                  <c:v>0.30417</c:v>
                </c:pt>
                <c:pt idx="2">
                  <c:v>0.293375</c:v>
                </c:pt>
                <c:pt idx="3">
                  <c:v>0.28671</c:v>
                </c:pt>
                <c:pt idx="4">
                  <c:v>0.27938</c:v>
                </c:pt>
                <c:pt idx="5">
                  <c:v>0.27462</c:v>
                </c:pt>
                <c:pt idx="6">
                  <c:v>0.274185</c:v>
                </c:pt>
                <c:pt idx="7">
                  <c:v>0.272265</c:v>
                </c:pt>
                <c:pt idx="8">
                  <c:v>0.27119</c:v>
                </c:pt>
                <c:pt idx="9">
                  <c:v>0.27066</c:v>
                </c:pt>
                <c:pt idx="10">
                  <c:v>0.27028</c:v>
                </c:pt>
                <c:pt idx="11">
                  <c:v>0.26969</c:v>
                </c:pt>
                <c:pt idx="12">
                  <c:v>0.269365</c:v>
                </c:pt>
                <c:pt idx="13">
                  <c:v>0.269105</c:v>
                </c:pt>
                <c:pt idx="14">
                  <c:v>0.268695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0.403443016359695</c:v>
                </c:pt>
                <c:pt idx="1">
                  <c:v>0.389057175903007</c:v>
                </c:pt>
                <c:pt idx="2">
                  <c:v>0.377532716402751</c:v>
                </c:pt>
                <c:pt idx="3">
                  <c:v>0.3683153607281</c:v>
                </c:pt>
                <c:pt idx="4">
                  <c:v>0.360953009691867</c:v>
                </c:pt>
                <c:pt idx="5">
                  <c:v>0.355078709471346</c:v>
                </c:pt>
                <c:pt idx="6">
                  <c:v>0.350395828114813</c:v>
                </c:pt>
                <c:pt idx="7">
                  <c:v>0.346665384551359</c:v>
                </c:pt>
                <c:pt idx="8">
                  <c:v>0.343695373764208</c:v>
                </c:pt>
                <c:pt idx="9">
                  <c:v>0.341331878443363</c:v>
                </c:pt>
                <c:pt idx="10">
                  <c:v>0.339451737649799</c:v>
                </c:pt>
                <c:pt idx="11">
                  <c:v>0.337956545421736</c:v>
                </c:pt>
                <c:pt idx="12">
                  <c:v>0.336767767843971</c:v>
                </c:pt>
                <c:pt idx="13">
                  <c:v>0.335822789432916</c:v>
                </c:pt>
                <c:pt idx="14">
                  <c:v>0.335071724403901</c:v>
                </c:pt>
              </c:numCache>
            </c:numRef>
          </c:val>
          <c:smooth val="0"/>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c:v>
                </c:pt>
                <c:pt idx="2">
                  <c:v>0.139487194776</c:v>
                </c:pt>
                <c:pt idx="3">
                  <c:v>0.13627181378727</c:v>
                </c:pt>
                <c:pt idx="4">
                  <c:v>0.133702048892459</c:v>
                </c:pt>
                <c:pt idx="5">
                  <c:v>0.131650622162627</c:v>
                </c:pt>
                <c:pt idx="6">
                  <c:v>0.130014536982959</c:v>
                </c:pt>
                <c:pt idx="7">
                  <c:v>0.128710719601477</c:v>
                </c:pt>
                <c:pt idx="8">
                  <c:v>0.127672352461627</c:v>
                </c:pt>
                <c:pt idx="9">
                  <c:v>0.126845818854759</c:v>
                </c:pt>
                <c:pt idx="10">
                  <c:v>0.126188178304854</c:v>
                </c:pt>
                <c:pt idx="11">
                  <c:v>0.125665095478988</c:v>
                </c:pt>
                <c:pt idx="12">
                  <c:v>0.12524915141805</c:v>
                </c:pt>
                <c:pt idx="13">
                  <c:v>0.124918473415114</c:v>
                </c:pt>
                <c:pt idx="14">
                  <c:v>0.124655627989656</c:v>
                </c:pt>
              </c:numCache>
            </c:numRef>
          </c:val>
          <c:smooth val="0"/>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0.175263519024531</c:v>
                </c:pt>
                <c:pt idx="2">
                  <c:v>0.169406929121017</c:v>
                </c:pt>
                <c:pt idx="3">
                  <c:v>0.164748088497602</c:v>
                </c:pt>
                <c:pt idx="4">
                  <c:v>0.161043144925981</c:v>
                </c:pt>
                <c:pt idx="5">
                  <c:v>0.158097487025777</c:v>
                </c:pt>
                <c:pt idx="6">
                  <c:v>0.155755950348822</c:v>
                </c:pt>
                <c:pt idx="7">
                  <c:v>0.153894916330383</c:v>
                </c:pt>
                <c:pt idx="8">
                  <c:v>0.152415958820206</c:v>
                </c:pt>
                <c:pt idx="9">
                  <c:v>0.151240748072878</c:v>
                </c:pt>
                <c:pt idx="10">
                  <c:v>0.150306971550941</c:v>
                </c:pt>
                <c:pt idx="11">
                  <c:v>0.149565073855822</c:v>
                </c:pt>
                <c:pt idx="12">
                  <c:v>0.148975654587612</c:v>
                </c:pt>
                <c:pt idx="13">
                  <c:v>0.148507393430906</c:v>
                </c:pt>
                <c:pt idx="14">
                  <c:v>0.148135396955858</c:v>
                </c:pt>
                <c:pt idx="15">
                  <c:v>0.147839882251399</c:v>
                </c:pt>
                <c:pt idx="16">
                  <c:v>0.147605129285522</c:v>
                </c:pt>
                <c:pt idx="17">
                  <c:v>0.147418647464099</c:v>
                </c:pt>
                <c:pt idx="18">
                  <c:v>0.147270512801934</c:v>
                </c:pt>
                <c:pt idx="19">
                  <c:v>0.147152840911944</c:v>
                </c:pt>
                <c:pt idx="20">
                  <c:v>0.14705936806538</c:v>
                </c:pt>
              </c:numCache>
            </c:numRef>
          </c:val>
          <c:smooth val="0"/>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0.0301394677824418</c:v>
                </c:pt>
                <c:pt idx="1">
                  <c:v>0.0246552921222165</c:v>
                </c:pt>
                <c:pt idx="2">
                  <c:v>0.0191711164619912</c:v>
                </c:pt>
                <c:pt idx="3">
                  <c:v>0.0175255259145968</c:v>
                </c:pt>
                <c:pt idx="4">
                  <c:v>0.0158799353672023</c:v>
                </c:pt>
                <c:pt idx="5">
                  <c:v>0.0129721835032959</c:v>
                </c:pt>
                <c:pt idx="6">
                  <c:v>0.0100644316393894</c:v>
                </c:pt>
                <c:pt idx="7">
                  <c:v>0.00821641758290137</c:v>
                </c:pt>
                <c:pt idx="8">
                  <c:v>0.00636840352641332</c:v>
                </c:pt>
                <c:pt idx="9">
                  <c:v>0.0047220111194124</c:v>
                </c:pt>
                <c:pt idx="10">
                  <c:v>0.00307561871241147</c:v>
                </c:pt>
                <c:pt idx="11">
                  <c:v>0.00250894724554418</c:v>
                </c:pt>
                <c:pt idx="12">
                  <c:v>0.00194227577867689</c:v>
                </c:pt>
                <c:pt idx="13">
                  <c:v>0.00158422252528045</c:v>
                </c:pt>
                <c:pt idx="14">
                  <c:v>0.00122616927188401</c:v>
                </c:pt>
              </c:numCache>
            </c:numRef>
          </c:val>
          <c:smooth val="0"/>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0.08633</c:v>
                </c:pt>
                <c:pt idx="1">
                  <c:v>0.079682</c:v>
                </c:pt>
                <c:pt idx="2">
                  <c:v>0.075489</c:v>
                </c:pt>
                <c:pt idx="3">
                  <c:v>0.071095</c:v>
                </c:pt>
                <c:pt idx="4">
                  <c:v>0.062057</c:v>
                </c:pt>
                <c:pt idx="5">
                  <c:v>0.057801</c:v>
                </c:pt>
                <c:pt idx="6">
                  <c:v>0.045876</c:v>
                </c:pt>
                <c:pt idx="7">
                  <c:v>0.042005</c:v>
                </c:pt>
                <c:pt idx="8">
                  <c:v>0.038359</c:v>
                </c:pt>
                <c:pt idx="9">
                  <c:v>0.038085</c:v>
                </c:pt>
                <c:pt idx="10">
                  <c:v>0.001773</c:v>
                </c:pt>
              </c:numCache>
            </c:numRef>
          </c:val>
          <c:smooth val="0"/>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0.065736</c:v>
                </c:pt>
                <c:pt idx="1">
                  <c:v>0.060834</c:v>
                </c:pt>
                <c:pt idx="2">
                  <c:v>0.058675</c:v>
                </c:pt>
                <c:pt idx="3">
                  <c:v>0.055342</c:v>
                </c:pt>
                <c:pt idx="4">
                  <c:v>0.053656</c:v>
                </c:pt>
                <c:pt idx="5">
                  <c:v>0.052924</c:v>
                </c:pt>
                <c:pt idx="6">
                  <c:v>0.052837</c:v>
                </c:pt>
                <c:pt idx="7">
                  <c:v>0.052453</c:v>
                </c:pt>
                <c:pt idx="8">
                  <c:v>0.052238</c:v>
                </c:pt>
                <c:pt idx="9">
                  <c:v>0.052132</c:v>
                </c:pt>
                <c:pt idx="10">
                  <c:v>0.052056</c:v>
                </c:pt>
                <c:pt idx="11">
                  <c:v>0.051938</c:v>
                </c:pt>
                <c:pt idx="12">
                  <c:v>0.051873</c:v>
                </c:pt>
                <c:pt idx="13">
                  <c:v>0.051821</c:v>
                </c:pt>
                <c:pt idx="14">
                  <c:v>0.051739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c:v>
                </c:pt>
                <c:pt idx="3">
                  <c:v>1.0139720347805</c:v>
                </c:pt>
                <c:pt idx="4">
                  <c:v>0.997782384226453</c:v>
                </c:pt>
                <c:pt idx="5">
                  <c:v>0.986224019035409</c:v>
                </c:pt>
                <c:pt idx="6">
                  <c:v>0.977040786392946</c:v>
                </c:pt>
                <c:pt idx="7">
                  <c:v>0.937891204518038</c:v>
                </c:pt>
                <c:pt idx="8">
                  <c:v>0.930802433815181</c:v>
                </c:pt>
                <c:pt idx="9">
                  <c:v>0.915828948246866</c:v>
                </c:pt>
                <c:pt idx="10">
                  <c:v>0.907962338225499</c:v>
                </c:pt>
                <c:pt idx="11">
                  <c:v>0.906752428771251</c:v>
                </c:pt>
                <c:pt idx="12">
                  <c:v>0.905791340574336</c:v>
                </c:pt>
                <c:pt idx="13">
                  <c:v>0.90502790659871</c:v>
                </c:pt>
                <c:pt idx="14">
                  <c:v>0.904421480297069</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c:v>
                </c:pt>
                <c:pt idx="1">
                  <c:v>0.558786550795631</c:v>
                </c:pt>
                <c:pt idx="2">
                  <c:v>0.542550632585348</c:v>
                </c:pt>
                <c:pt idx="3">
                  <c:v>0.529554450588587</c:v>
                </c:pt>
                <c:pt idx="4">
                  <c:v>0.51916690303343</c:v>
                </c:pt>
                <c:pt idx="5">
                  <c:v>0.510874413096618</c:v>
                </c:pt>
                <c:pt idx="6">
                  <c:v>0.504260944663715</c:v>
                </c:pt>
                <c:pt idx="7">
                  <c:v>0.498990743494721</c:v>
                </c:pt>
                <c:pt idx="8">
                  <c:v>0.494793680196604</c:v>
                </c:pt>
                <c:pt idx="9">
                  <c:v>0.49145296914429</c:v>
                </c:pt>
                <c:pt idx="10">
                  <c:v>0.488794988561669</c:v>
                </c:pt>
                <c:pt idx="11">
                  <c:v>0.486680914794557</c:v>
                </c:pt>
                <c:pt idx="12">
                  <c:v>0.484999894746763</c:v>
                </c:pt>
                <c:pt idx="13">
                  <c:v>0.483663504299614</c:v>
                </c:pt>
                <c:pt idx="14">
                  <c:v>0.482601270241423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c:v>
                </c:pt>
                <c:pt idx="1">
                  <c:v>0.23200151369841</c:v>
                </c:pt>
                <c:pt idx="2">
                  <c:v>0.232001505569968</c:v>
                </c:pt>
                <c:pt idx="3">
                  <c:v>0.180480565295693</c:v>
                </c:pt>
                <c:pt idx="4">
                  <c:v>0.156575288680327</c:v>
                </c:pt>
                <c:pt idx="5">
                  <c:v>0.156575269762038</c:v>
                </c:pt>
                <c:pt idx="6">
                  <c:v>0.156575254734714</c:v>
                </c:pt>
                <c:pt idx="7">
                  <c:v>0.156575242798085</c:v>
                </c:pt>
                <c:pt idx="8">
                  <c:v>0.156575233316492</c:v>
                </c:pt>
                <c:pt idx="9">
                  <c:v>0.156575225785027</c:v>
                </c:pt>
                <c:pt idx="10">
                  <c:v>0.156575219802524</c:v>
                </c:pt>
                <c:pt idx="11">
                  <c:v>0.15657521505047</c:v>
                </c:pt>
                <c:pt idx="12">
                  <c:v>0.156575211275767</c:v>
                </c:pt>
                <c:pt idx="13">
                  <c:v>0.156575208277454</c:v>
                </c:pt>
                <c:pt idx="14">
                  <c:v>0.156575205895748</c:v>
                </c:pt>
                <c:pt idx="15">
                  <c:v>0.156575204003939</c:v>
                </c:pt>
              </c:numCache>
            </c:numRef>
          </c:val>
          <c:smooth val="0"/>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0.0693501558329701</c:v>
                </c:pt>
                <c:pt idx="1">
                  <c:v>0.0693501434791188</c:v>
                </c:pt>
                <c:pt idx="2">
                  <c:v>0.0693501336661129</c:v>
                </c:pt>
                <c:pt idx="3">
                  <c:v>0.0693501258713702</c:v>
                </c:pt>
                <c:pt idx="4">
                  <c:v>0.0591407154478696</c:v>
                </c:pt>
                <c:pt idx="5">
                  <c:v>0.0591407154477586</c:v>
                </c:pt>
                <c:pt idx="6">
                  <c:v>0.0591407154476253</c:v>
                </c:pt>
                <c:pt idx="7">
                  <c:v>0.0591407154475254</c:v>
                </c:pt>
                <c:pt idx="8">
                  <c:v>0.0591407154474588</c:v>
                </c:pt>
                <c:pt idx="9">
                  <c:v>0.0591407154473922</c:v>
                </c:pt>
                <c:pt idx="10">
                  <c:v>0.05914071544737</c:v>
                </c:pt>
                <c:pt idx="11">
                  <c:v>0.0591407154473145</c:v>
                </c:pt>
                <c:pt idx="12">
                  <c:v>0.0591407154472812</c:v>
                </c:pt>
                <c:pt idx="13">
                  <c:v>0.0591407154472701</c:v>
                </c:pt>
                <c:pt idx="14">
                  <c:v>0.0591407154472368</c:v>
                </c:pt>
                <c:pt idx="15">
                  <c:v>0.0591407154472257</c:v>
                </c:pt>
              </c:numCache>
            </c:numRef>
          </c:val>
          <c:smooth val="0"/>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0.00040509966164565</c:v>
                </c:pt>
                <c:pt idx="1">
                  <c:v>0.000372867406302977</c:v>
                </c:pt>
                <c:pt idx="2">
                  <c:v>0.000347264385966368</c:v>
                </c:pt>
                <c:pt idx="3">
                  <c:v>0.000326927165269451</c:v>
                </c:pt>
                <c:pt idx="4">
                  <c:v>0.000310772724797438</c:v>
                </c:pt>
                <c:pt idx="5">
                  <c:v>0.000297940789086467</c:v>
                </c:pt>
                <c:pt idx="6">
                  <c:v>0.000287748015566573</c:v>
                </c:pt>
                <c:pt idx="7">
                  <c:v>0.000279651604766772</c:v>
                </c:pt>
                <c:pt idx="8">
                  <c:v>0.000273220395200494</c:v>
                </c:pt>
                <c:pt idx="9">
                  <c:v>0.000268111902649952</c:v>
                </c:pt>
                <c:pt idx="10">
                  <c:v>0.000264054082050996</c:v>
                </c:pt>
                <c:pt idx="11">
                  <c:v>0.000260830840123376</c:v>
                </c:pt>
                <c:pt idx="12">
                  <c:v>0.000258270527701301</c:v>
                </c:pt>
                <c:pt idx="13">
                  <c:v>0.000256236799120231</c:v>
                </c:pt>
                <c:pt idx="14">
                  <c:v>0.000254621350944901</c:v>
                </c:pt>
                <c:pt idx="15">
                  <c:v>0.000253338154803299</c:v>
                </c:pt>
                <c:pt idx="16">
                  <c:v>0.000252318875780907</c:v>
                </c:pt>
                <c:pt idx="17">
                  <c:v>0.000251509233666767</c:v>
                </c:pt>
                <c:pt idx="18">
                  <c:v>0.000250866112071769</c:v>
                </c:pt>
                <c:pt idx="19">
                  <c:v>0.000250355262380495</c:v>
                </c:pt>
                <c:pt idx="20">
                  <c:v>0.00024994948007589</c:v>
                </c:pt>
              </c:numCache>
            </c:numRef>
          </c:val>
          <c:smooth val="0"/>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1.38196946886104e-5</c:v>
                </c:pt>
                <c:pt idx="2">
                  <c:v>1.12696666998424e-5</c:v>
                </c:pt>
                <c:pt idx="3">
                  <c:v>8.7196387110744e-6</c:v>
                </c:pt>
                <c:pt idx="4">
                  <c:v>8.7196387110744e-6</c:v>
                </c:pt>
                <c:pt idx="5">
                  <c:v>8.7196387110744e-6</c:v>
                </c:pt>
                <c:pt idx="6">
                  <c:v>5.45495660864148e-6</c:v>
                </c:pt>
                <c:pt idx="7">
                  <c:v>2.19027450620857e-6</c:v>
                </c:pt>
                <c:pt idx="8">
                  <c:v>2.19027450620857e-6</c:v>
                </c:pt>
                <c:pt idx="9">
                  <c:v>2.19027450620857e-6</c:v>
                </c:pt>
                <c:pt idx="10">
                  <c:v>1.78612215573359e-6</c:v>
                </c:pt>
                <c:pt idx="11">
                  <c:v>1.38196980525862e-6</c:v>
                </c:pt>
                <c:pt idx="12">
                  <c:v>1.12696690868219e-6</c:v>
                </c:pt>
                <c:pt idx="13">
                  <c:v>8.71964012105764e-7</c:v>
                </c:pt>
                <c:pt idx="14">
                  <c:v>7.11068059988662e-7</c:v>
                </c:pt>
                <c:pt idx="15">
                  <c:v>5.50172107871561e-7</c:v>
                </c:pt>
              </c:numCache>
            </c:numRef>
          </c:val>
          <c:smooth val="0"/>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c:v>
                </c:pt>
                <c:pt idx="1">
                  <c:v>0.38363</c:v>
                </c:pt>
                <c:pt idx="2">
                  <c:v>0.377482</c:v>
                </c:pt>
                <c:pt idx="3">
                  <c:v>0.350508</c:v>
                </c:pt>
                <c:pt idx="4">
                  <c:v>0.32733</c:v>
                </c:pt>
                <c:pt idx="5">
                  <c:v>0.29859</c:v>
                </c:pt>
                <c:pt idx="6">
                  <c:v>0.28541</c:v>
                </c:pt>
                <c:pt idx="7">
                  <c:v>0.26619</c:v>
                </c:pt>
                <c:pt idx="8">
                  <c:v>0.24044</c:v>
                </c:pt>
                <c:pt idx="9">
                  <c:v>0.22515</c:v>
                </c:pt>
                <c:pt idx="10">
                  <c:v>0.21915</c:v>
                </c:pt>
              </c:numCache>
            </c:numRef>
          </c:val>
          <c:smooth val="0"/>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0.29616</c:v>
                </c:pt>
                <c:pt idx="1">
                  <c:v>0.293467</c:v>
                </c:pt>
                <c:pt idx="2">
                  <c:v>0.28812</c:v>
                </c:pt>
                <c:pt idx="3">
                  <c:v>0.277373</c:v>
                </c:pt>
                <c:pt idx="4">
                  <c:v>0.240658</c:v>
                </c:pt>
                <c:pt idx="5">
                  <c:v>0.233719</c:v>
                </c:pt>
                <c:pt idx="6">
                  <c:v>0.228197</c:v>
                </c:pt>
                <c:pt idx="7">
                  <c:v>0.223804</c:v>
                </c:pt>
                <c:pt idx="8">
                  <c:v>0.22031</c:v>
                </c:pt>
                <c:pt idx="9">
                  <c:v>0.217532</c:v>
                </c:pt>
                <c:pt idx="10">
                  <c:v>0.215323</c:v>
                </c:pt>
                <c:pt idx="11">
                  <c:v>0.213568</c:v>
                </c:pt>
                <c:pt idx="12">
                  <c:v>0.212173</c:v>
                </c:pt>
                <c:pt idx="13">
                  <c:v>0.211065</c:v>
                </c:pt>
                <c:pt idx="14">
                  <c:v>0.210184</c:v>
                </c:pt>
                <c:pt idx="15">
                  <c:v>0.209484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0.0320335659062421</c:v>
                </c:pt>
                <c:pt idx="1">
                  <c:v>0.0308345555534717</c:v>
                </c:pt>
                <c:pt idx="2">
                  <c:v>0.02983177069108</c:v>
                </c:pt>
                <c:pt idx="3">
                  <c:v>0.0290045807165407</c:v>
                </c:pt>
                <c:pt idx="4">
                  <c:v>0.0283222699654528</c:v>
                </c:pt>
                <c:pt idx="5">
                  <c:v>0.0277644788056253</c:v>
                </c:pt>
                <c:pt idx="6">
                  <c:v>0.0273107512272608</c:v>
                </c:pt>
                <c:pt idx="7">
                  <c:v>0.0269432407036918</c:v>
                </c:pt>
                <c:pt idx="8">
                  <c:v>0.0266475576961134</c:v>
                </c:pt>
                <c:pt idx="9">
                  <c:v>0.0264089019291314</c:v>
                </c:pt>
                <c:pt idx="10">
                  <c:v>0.026217338430834</c:v>
                </c:pt>
                <c:pt idx="11">
                  <c:v>0.0260638865461904</c:v>
                </c:pt>
                <c:pt idx="12">
                  <c:v>0.025941167172483</c:v>
                </c:pt>
                <c:pt idx="13">
                  <c:v>0.0258431569992168</c:v>
                </c:pt>
                <c:pt idx="14">
                  <c:v>0.0257649657184111</c:v>
                </c:pt>
                <c:pt idx="15">
                  <c:v>0.0257026401292326</c:v>
                </c:pt>
              </c:numCache>
            </c:numRef>
          </c:val>
          <c:smooth val="0"/>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0.0143552759643284</c:v>
                </c:pt>
                <c:pt idx="1">
                  <c:v>0.0139346163564258</c:v>
                </c:pt>
                <c:pt idx="2">
                  <c:v>0.0135866460523881</c:v>
                </c:pt>
                <c:pt idx="3">
                  <c:v>0.0133006389633872</c:v>
                </c:pt>
                <c:pt idx="4">
                  <c:v>0.0130668885658158</c:v>
                </c:pt>
                <c:pt idx="5">
                  <c:v>0.0128767850830269</c:v>
                </c:pt>
                <c:pt idx="6">
                  <c:v>0.0127228284333203</c:v>
                </c:pt>
                <c:pt idx="7">
                  <c:v>0.0125985881578305</c:v>
                </c:pt>
                <c:pt idx="8">
                  <c:v>0.0124541220475227</c:v>
                </c:pt>
                <c:pt idx="9">
                  <c:v>0.012373291090606</c:v>
                </c:pt>
                <c:pt idx="10">
                  <c:v>0.0123085376974252</c:v>
                </c:pt>
                <c:pt idx="11">
                  <c:v>0.0122567502648163</c:v>
                </c:pt>
                <c:pt idx="12">
                  <c:v>0.0122153884531073</c:v>
                </c:pt>
                <c:pt idx="13">
                  <c:v>0.012182389462112</c:v>
                </c:pt>
                <c:pt idx="14">
                  <c:v>0.0121560855717795</c:v>
                </c:pt>
              </c:numCache>
            </c:numRef>
          </c:val>
          <c:smooth val="0"/>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0.0167959725354264</c:v>
                </c:pt>
                <c:pt idx="1">
                  <c:v>0.0159234604464414</c:v>
                </c:pt>
                <c:pt idx="2">
                  <c:v>0.0152041950895324</c:v>
                </c:pt>
                <c:pt idx="3">
                  <c:v>0.0146146709341435</c:v>
                </c:pt>
                <c:pt idx="4">
                  <c:v>0.0141339559817647</c:v>
                </c:pt>
                <c:pt idx="5">
                  <c:v>0.0137437172692642</c:v>
                </c:pt>
                <c:pt idx="6">
                  <c:v>0.0134281415973135</c:v>
                </c:pt>
                <c:pt idx="7">
                  <c:v>0.0131737740006222</c:v>
                </c:pt>
                <c:pt idx="8">
                  <c:v>0.0129693015244599</c:v>
                </c:pt>
                <c:pt idx="9">
                  <c:v>0.0128053087145455</c:v>
                </c:pt>
                <c:pt idx="10">
                  <c:v>0.0126740265002388</c:v>
                </c:pt>
                <c:pt idx="11">
                  <c:v>0.012569090151026</c:v>
                </c:pt>
                <c:pt idx="12">
                  <c:v>0.0124853162437295</c:v>
                </c:pt>
                <c:pt idx="13">
                  <c:v>0.0124185038662577</c:v>
                </c:pt>
                <c:pt idx="14">
                  <c:v>0.0123652618269638</c:v>
                </c:pt>
                <c:pt idx="15">
                  <c:v>0.0123228613442703</c:v>
                </c:pt>
                <c:pt idx="16">
                  <c:v>0.0122891123303554</c:v>
                </c:pt>
                <c:pt idx="17">
                  <c:v>0.0122622607015113</c:v>
                </c:pt>
                <c:pt idx="18">
                  <c:v>0.0122409039225923</c:v>
                </c:pt>
                <c:pt idx="19">
                  <c:v>0.01222392204943</c:v>
                </c:pt>
                <c:pt idx="20">
                  <c:v>0.0122104217463724</c:v>
                </c:pt>
              </c:numCache>
            </c:numRef>
          </c:val>
          <c:smooth val="0"/>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5.36379818893984e-6</c:v>
                </c:pt>
                <c:pt idx="1">
                  <c:v>4.15012099130863e-6</c:v>
                </c:pt>
                <c:pt idx="2">
                  <c:v>3.38433806534866e-6</c:v>
                </c:pt>
                <c:pt idx="3">
                  <c:v>2.61855513938869e-6</c:v>
                </c:pt>
                <c:pt idx="4">
                  <c:v>2.61855513938869e-6</c:v>
                </c:pt>
                <c:pt idx="5">
                  <c:v>2.61855513938869e-6</c:v>
                </c:pt>
                <c:pt idx="6">
                  <c:v>1.63815411791113e-6</c:v>
                </c:pt>
                <c:pt idx="7">
                  <c:v>6.57753096433567e-7</c:v>
                </c:pt>
                <c:pt idx="8">
                  <c:v>6.57753096433567e-7</c:v>
                </c:pt>
                <c:pt idx="9">
                  <c:v>6.57753096433567e-7</c:v>
                </c:pt>
                <c:pt idx="10">
                  <c:v>5.36383687466113e-7</c:v>
                </c:pt>
                <c:pt idx="11">
                  <c:v>4.1501427849866e-7</c:v>
                </c:pt>
                <c:pt idx="12">
                  <c:v>3.38435329760856e-7</c:v>
                </c:pt>
                <c:pt idx="13">
                  <c:v>2.61856381023051e-7</c:v>
                </c:pt>
                <c:pt idx="14">
                  <c:v>2.13538281501613e-7</c:v>
                </c:pt>
                <c:pt idx="15">
                  <c:v>1.65220181980175e-7</c:v>
                </c:pt>
              </c:numCache>
            </c:numRef>
          </c:val>
          <c:smooth val="0"/>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0.028149</c:v>
                </c:pt>
                <c:pt idx="1">
                  <c:v>0.024485</c:v>
                </c:pt>
                <c:pt idx="2">
                  <c:v>0.021012</c:v>
                </c:pt>
                <c:pt idx="3">
                  <c:v>0.019192</c:v>
                </c:pt>
                <c:pt idx="4">
                  <c:v>0.017867</c:v>
                </c:pt>
                <c:pt idx="5">
                  <c:v>0.014088</c:v>
                </c:pt>
                <c:pt idx="6">
                  <c:v>0.012177</c:v>
                </c:pt>
                <c:pt idx="7">
                  <c:v>0.011901</c:v>
                </c:pt>
                <c:pt idx="8">
                  <c:v>0.011871</c:v>
                </c:pt>
                <c:pt idx="9">
                  <c:v>0.011813</c:v>
                </c:pt>
                <c:pt idx="10">
                  <c:v>0.011378</c:v>
                </c:pt>
              </c:numCache>
            </c:numRef>
          </c:val>
          <c:smooth val="0"/>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0.028613</c:v>
                </c:pt>
                <c:pt idx="1">
                  <c:v>0.026259</c:v>
                </c:pt>
                <c:pt idx="2">
                  <c:v>0.024854</c:v>
                </c:pt>
                <c:pt idx="3">
                  <c:v>0.022934</c:v>
                </c:pt>
                <c:pt idx="4">
                  <c:v>0.021966</c:v>
                </c:pt>
                <c:pt idx="5">
                  <c:v>0.021588</c:v>
                </c:pt>
                <c:pt idx="6">
                  <c:v>0.021097</c:v>
                </c:pt>
                <c:pt idx="7">
                  <c:v>0.020938</c:v>
                </c:pt>
                <c:pt idx="8">
                  <c:v>0.020899</c:v>
                </c:pt>
                <c:pt idx="9">
                  <c:v>0.020804</c:v>
                </c:pt>
                <c:pt idx="10">
                  <c:v>0.020808</c:v>
                </c:pt>
                <c:pt idx="11">
                  <c:v>0.020794</c:v>
                </c:pt>
                <c:pt idx="12">
                  <c:v>0.0207669999999999</c:v>
                </c:pt>
                <c:pt idx="13">
                  <c:v>0.0207499999999999</c:v>
                </c:pt>
                <c:pt idx="14">
                  <c:v>0.0207609999999999</c:v>
                </c:pt>
                <c:pt idx="15">
                  <c:v>0.020759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c:v>
                </c:pt>
                <c:pt idx="1">
                  <c:v>5.39542508330461</c:v>
                </c:pt>
                <c:pt idx="2">
                  <c:v>5.39280610656254</c:v>
                </c:pt>
                <c:pt idx="3">
                  <c:v>5.39072566782884</c:v>
                </c:pt>
                <c:pt idx="4">
                  <c:v>5.3890730462061</c:v>
                </c:pt>
                <c:pt idx="5">
                  <c:v>5.38776027777019</c:v>
                </c:pt>
                <c:pt idx="6">
                  <c:v>5.38671748070769</c:v>
                </c:pt>
                <c:pt idx="7">
                  <c:v>5.38588913987252</c:v>
                </c:pt>
                <c:pt idx="8">
                  <c:v>5.38523115420017</c:v>
                </c:pt>
                <c:pt idx="9">
                  <c:v>5.38470849056152</c:v>
                </c:pt>
                <c:pt idx="10">
                  <c:v>5.38429331963342</c:v>
                </c:pt>
                <c:pt idx="11">
                  <c:v>5.38396353483979</c:v>
                </c:pt>
                <c:pt idx="12">
                  <c:v>5.38370157569811</c:v>
                </c:pt>
                <c:pt idx="13">
                  <c:v>5.38349349303953</c:v>
                </c:pt>
                <c:pt idx="14">
                  <c:v>5.38332820640453</c:v>
                </c:pt>
                <c:pt idx="15">
                  <c:v>5.38319691411923</c:v>
                </c:pt>
              </c:numCache>
            </c:numRef>
          </c:val>
          <c:smooth val="0"/>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c:v>
                </c:pt>
                <c:pt idx="1">
                  <c:v>1.04450784717739</c:v>
                </c:pt>
                <c:pt idx="2">
                  <c:v>1.04450780662768</c:v>
                </c:pt>
                <c:pt idx="3">
                  <c:v>1.04450777441792</c:v>
                </c:pt>
                <c:pt idx="4">
                  <c:v>1.04450774883279</c:v>
                </c:pt>
                <c:pt idx="5">
                  <c:v>1.0445077285098</c:v>
                </c:pt>
                <c:pt idx="6">
                  <c:v>1.04450771236668</c:v>
                </c:pt>
                <c:pt idx="7">
                  <c:v>1.04450769954373</c:v>
                </c:pt>
                <c:pt idx="8">
                  <c:v>1.04450768935811</c:v>
                </c:pt>
                <c:pt idx="9">
                  <c:v>1.04450768126737</c:v>
                </c:pt>
                <c:pt idx="10">
                  <c:v>1.04450767484069</c:v>
                </c:pt>
                <c:pt idx="11">
                  <c:v>1.04450766973581</c:v>
                </c:pt>
                <c:pt idx="12">
                  <c:v>1.04450766568081</c:v>
                </c:pt>
                <c:pt idx="13">
                  <c:v>1.04450766245985</c:v>
                </c:pt>
                <c:pt idx="14">
                  <c:v>1.04450765990133</c:v>
                </c:pt>
                <c:pt idx="15">
                  <c:v>1.04450765786903</c:v>
                </c:pt>
              </c:numCache>
            </c:numRef>
          </c:val>
          <c:smooth val="0"/>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2.49635144377132</c:v>
                </c:pt>
                <c:pt idx="1">
                  <c:v>2.31215284862165</c:v>
                </c:pt>
                <c:pt idx="2">
                  <c:v>2.16422049219318</c:v>
                </c:pt>
                <c:pt idx="3">
                  <c:v>2.04567212975278</c:v>
                </c:pt>
                <c:pt idx="4">
                  <c:v>1.95083811449778</c:v>
                </c:pt>
                <c:pt idx="5">
                  <c:v>1.87508208135882</c:v>
                </c:pt>
                <c:pt idx="6">
                  <c:v>1.81463494145267</c:v>
                </c:pt>
                <c:pt idx="7">
                  <c:v>1.7664470607375</c:v>
                </c:pt>
                <c:pt idx="8">
                  <c:v>1.72806019433943</c:v>
                </c:pt>
                <c:pt idx="9">
                  <c:v>1.69749873899596</c:v>
                </c:pt>
                <c:pt idx="10">
                  <c:v>1.67317876366815</c:v>
                </c:pt>
                <c:pt idx="11">
                  <c:v>1.65383277352021</c:v>
                </c:pt>
                <c:pt idx="12">
                  <c:v>1.63844802794826</c:v>
                </c:pt>
                <c:pt idx="13">
                  <c:v>1.62621631211519</c:v>
                </c:pt>
                <c:pt idx="14">
                  <c:v>1.61649325038584</c:v>
                </c:pt>
                <c:pt idx="15">
                  <c:v>1.60876548470287</c:v>
                </c:pt>
                <c:pt idx="16">
                  <c:v>1.60262428319626</c:v>
                </c:pt>
                <c:pt idx="17">
                  <c:v>1.59774437328423</c:v>
                </c:pt>
                <c:pt idx="18">
                  <c:v>1.59386699911525</c:v>
                </c:pt>
                <c:pt idx="19">
                  <c:v>1.59078638180609</c:v>
                </c:pt>
                <c:pt idx="20">
                  <c:v>1.58833891262816</c:v>
                </c:pt>
              </c:numCache>
            </c:numRef>
          </c:val>
          <c:smooth val="0"/>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1.73829900029787e-5</c:v>
                </c:pt>
                <c:pt idx="1">
                  <c:v>1.3449678382127e-5</c:v>
                </c:pt>
                <c:pt idx="2">
                  <c:v>1.09679261284246e-5</c:v>
                </c:pt>
                <c:pt idx="3">
                  <c:v>8.48617387472217e-6</c:v>
                </c:pt>
                <c:pt idx="4">
                  <c:v>8.48617387472217e-6</c:v>
                </c:pt>
                <c:pt idx="5">
                  <c:v>8.48617387472217e-6</c:v>
                </c:pt>
                <c:pt idx="6">
                  <c:v>5.30890226779768e-6</c:v>
                </c:pt>
                <c:pt idx="7">
                  <c:v>2.13163066087319e-6</c:v>
                </c:pt>
                <c:pt idx="8">
                  <c:v>2.13163066087319e-6</c:v>
                </c:pt>
                <c:pt idx="9">
                  <c:v>2.13163066087319e-6</c:v>
                </c:pt>
                <c:pt idx="10">
                  <c:v>1.7382993489079e-6</c:v>
                </c:pt>
                <c:pt idx="11">
                  <c:v>1.34496803694262e-6</c:v>
                </c:pt>
                <c:pt idx="12">
                  <c:v>1.09679275106522e-6</c:v>
                </c:pt>
                <c:pt idx="13">
                  <c:v>8.48617465187829e-7</c:v>
                </c:pt>
                <c:pt idx="14">
                  <c:v>6.92029444859799e-7</c:v>
                </c:pt>
                <c:pt idx="15">
                  <c:v>5.35441424531769e-7</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c:v>
                </c:pt>
                <c:pt idx="2">
                  <c:v>0.324231625892968</c:v>
                </c:pt>
                <c:pt idx="3">
                  <c:v>0.311142540111875</c:v>
                </c:pt>
                <c:pt idx="4">
                  <c:v>0.300477904581697</c:v>
                </c:pt>
                <c:pt idx="5">
                  <c:v>0.291826227094949</c:v>
                </c:pt>
                <c:pt idx="6">
                  <c:v>0.284833652711947</c:v>
                </c:pt>
                <c:pt idx="7">
                  <c:v>0.27919983545488</c:v>
                </c:pt>
                <c:pt idx="8">
                  <c:v>0.274672740104698</c:v>
                </c:pt>
                <c:pt idx="9">
                  <c:v>0.27104293386474</c:v>
                </c:pt>
                <c:pt idx="10">
                  <c:v>0.268137821308567</c:v>
                </c:pt>
                <c:pt idx="11">
                  <c:v>0.265816146107989</c:v>
                </c:pt>
                <c:pt idx="12">
                  <c:v>0.263962960453445</c:v>
                </c:pt>
                <c:pt idx="13">
                  <c:v>0.262485163368276</c:v>
                </c:pt>
                <c:pt idx="14">
                  <c:v>0.261307636567831</c:v>
                </c:pt>
                <c:pt idx="15">
                  <c:v>0.260369958845408</c:v>
                </c:pt>
              </c:numCache>
            </c:numRef>
          </c:val>
          <c:smooth val="0"/>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c:v>
                </c:pt>
                <c:pt idx="1">
                  <c:v>0.221875274876604</c:v>
                </c:pt>
                <c:pt idx="2">
                  <c:v>0.211580324916705</c:v>
                </c:pt>
                <c:pt idx="3">
                  <c:v>0.203130860242162</c:v>
                </c:pt>
                <c:pt idx="4">
                  <c:v>0.196232997383561</c:v>
                </c:pt>
                <c:pt idx="5">
                  <c:v>0.190627975510049</c:v>
                </c:pt>
                <c:pt idx="6">
                  <c:v>0.186091669874178</c:v>
                </c:pt>
                <c:pt idx="7">
                  <c:v>0.1824327438535</c:v>
                </c:pt>
                <c:pt idx="8">
                  <c:v>0.179489885926076</c:v>
                </c:pt>
                <c:pt idx="9">
                  <c:v>0.177128544072447</c:v>
                </c:pt>
                <c:pt idx="10">
                  <c:v>0.175237492909885</c:v>
                </c:pt>
                <c:pt idx="11">
                  <c:v>0.173735955226095</c:v>
                </c:pt>
                <c:pt idx="12">
                  <c:v>0.172544637550331</c:v>
                </c:pt>
                <c:pt idx="13">
                  <c:v>0.171594312903667</c:v>
                </c:pt>
                <c:pt idx="14">
                  <c:v>0.170836874655889</c:v>
                </c:pt>
                <c:pt idx="15">
                  <c:v>0.170233585437651</c:v>
                </c:pt>
              </c:numCache>
            </c:numRef>
          </c:val>
          <c:smooth val="0"/>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c:v>
                </c:pt>
                <c:pt idx="2">
                  <c:v>0.939827979564501</c:v>
                </c:pt>
                <c:pt idx="3">
                  <c:v>0.897894691943062</c:v>
                </c:pt>
                <c:pt idx="4">
                  <c:v>0.863870374700094</c:v>
                </c:pt>
                <c:pt idx="5">
                  <c:v>0.836368254713691</c:v>
                </c:pt>
                <c:pt idx="6">
                  <c:v>0.814209306844761</c:v>
                </c:pt>
                <c:pt idx="7">
                  <c:v>0.796403165109071</c:v>
                </c:pt>
                <c:pt idx="8">
                  <c:v>0.782126396006801</c:v>
                </c:pt>
                <c:pt idx="9">
                  <c:v>0.770700189899504</c:v>
                </c:pt>
                <c:pt idx="10">
                  <c:v>0.761568908458698</c:v>
                </c:pt>
                <c:pt idx="11">
                  <c:v>0.75428037309372</c:v>
                </c:pt>
                <c:pt idx="12">
                  <c:v>0.748468343698525</c:v>
                </c:pt>
                <c:pt idx="13">
                  <c:v>0.743837326751677</c:v>
                </c:pt>
                <c:pt idx="14">
                  <c:v>0.740149650780107</c:v>
                </c:pt>
                <c:pt idx="15">
                  <c:v>0.737214630863245</c:v>
                </c:pt>
                <c:pt idx="16">
                  <c:v>0.734879587660491</c:v>
                </c:pt>
                <c:pt idx="17">
                  <c:v>0.733022469802565</c:v>
                </c:pt>
                <c:pt idx="18">
                  <c:v>0.731545835823179</c:v>
                </c:pt>
                <c:pt idx="19">
                  <c:v>0.730371972191881</c:v>
                </c:pt>
                <c:pt idx="20">
                  <c:v>0.729438950240238</c:v>
                </c:pt>
              </c:numCache>
            </c:numRef>
          </c:val>
          <c:smooth val="0"/>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0.977128692828266</c:v>
                </c:pt>
                <c:pt idx="1">
                  <c:v>0.82799684922501</c:v>
                </c:pt>
                <c:pt idx="2">
                  <c:v>0.714884302495489</c:v>
                </c:pt>
                <c:pt idx="3">
                  <c:v>0.601771755765967</c:v>
                </c:pt>
                <c:pt idx="4">
                  <c:v>0.517196490292898</c:v>
                </c:pt>
                <c:pt idx="5">
                  <c:v>0.432621224819829</c:v>
                </c:pt>
                <c:pt idx="6">
                  <c:v>0.432621224819829</c:v>
                </c:pt>
                <c:pt idx="7">
                  <c:v>0.432621224819829</c:v>
                </c:pt>
                <c:pt idx="8">
                  <c:v>0.291295426823002</c:v>
                </c:pt>
                <c:pt idx="9">
                  <c:v>0.149969628826174</c:v>
                </c:pt>
                <c:pt idx="10">
                  <c:v>0.149969628826174</c:v>
                </c:pt>
                <c:pt idx="11">
                  <c:v>0.149969628826174</c:v>
                </c:pt>
                <c:pt idx="12">
                  <c:v>0.126616622580361</c:v>
                </c:pt>
                <c:pt idx="13">
                  <c:v>0.103263616334548</c:v>
                </c:pt>
                <c:pt idx="14">
                  <c:v>0.086849042943099</c:v>
                </c:pt>
                <c:pt idx="15">
                  <c:v>0.0704344695516501</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c:v>
                </c:pt>
                <c:pt idx="1">
                  <c:v>0.871551736060305</c:v>
                </c:pt>
                <c:pt idx="2">
                  <c:v>0.848469552338094</c:v>
                </c:pt>
                <c:pt idx="3">
                  <c:v>0.829262752316773</c:v>
                </c:pt>
                <c:pt idx="4">
                  <c:v>0.8133978619836</c:v>
                </c:pt>
                <c:pt idx="5">
                  <c:v>0.800378221651876</c:v>
                </c:pt>
                <c:pt idx="6">
                  <c:v>0.789753587963171</c:v>
                </c:pt>
                <c:pt idx="7">
                  <c:v>0.781125053652088</c:v>
                </c:pt>
                <c:pt idx="8">
                  <c:v>0.774199162144595</c:v>
                </c:pt>
                <c:pt idx="9">
                  <c:v>0.768574381529885</c:v>
                </c:pt>
                <c:pt idx="10">
                  <c:v>0.764053031294265</c:v>
                </c:pt>
                <c:pt idx="11">
                  <c:v>0.760427013446507</c:v>
                </c:pt>
                <c:pt idx="12">
                  <c:v>0.757524492571027</c:v>
                </c:pt>
                <c:pt idx="13">
                  <c:v>0.755204651380403</c:v>
                </c:pt>
                <c:pt idx="14">
                  <c:v>0.753352801519847</c:v>
                </c:pt>
                <c:pt idx="15">
                  <c:v>0.751876000060125</c:v>
                </c:pt>
              </c:numCache>
            </c:numRef>
          </c:val>
          <c:smooth val="0"/>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c:v>
                </c:pt>
                <c:pt idx="1">
                  <c:v>0.185443220179471</c:v>
                </c:pt>
                <c:pt idx="2">
                  <c:v>0.179697791931677</c:v>
                </c:pt>
                <c:pt idx="3">
                  <c:v>0.174959628582849</c:v>
                </c:pt>
                <c:pt idx="4">
                  <c:v>0.171075490005457</c:v>
                </c:pt>
                <c:pt idx="5">
                  <c:v>0.167908195483346</c:v>
                </c:pt>
                <c:pt idx="6">
                  <c:v>0.165337209818106</c:v>
                </c:pt>
                <c:pt idx="7">
                  <c:v>0.163258373745045</c:v>
                </c:pt>
                <c:pt idx="8">
                  <c:v>0.161582978968911</c:v>
                </c:pt>
                <c:pt idx="9">
                  <c:v>0.160236412284742</c:v>
                </c:pt>
                <c:pt idx="10">
                  <c:v>0.159156573338037</c:v>
                </c:pt>
                <c:pt idx="11">
                  <c:v>0.158292228387558</c:v>
                </c:pt>
                <c:pt idx="12">
                  <c:v>0.157601414699349</c:v>
                </c:pt>
                <c:pt idx="13">
                  <c:v>0.157049967015188</c:v>
                </c:pt>
                <c:pt idx="14">
                  <c:v>0.156610203322594</c:v>
                </c:pt>
                <c:pt idx="15">
                  <c:v>0.156259782677926</c:v>
                </c:pt>
                <c:pt idx="16">
                  <c:v>0.127260074140578</c:v>
                </c:pt>
                <c:pt idx="17">
                  <c:v>0.125332359831365</c:v>
                </c:pt>
                <c:pt idx="18">
                  <c:v>0.123780672073892</c:v>
                </c:pt>
                <c:pt idx="19">
                  <c:v>0.12253484555389</c:v>
                </c:pt>
                <c:pt idx="20">
                  <c:v>0.121536677694045</c:v>
                </c:pt>
              </c:numCache>
            </c:numRef>
          </c:val>
          <c:smooth val="0"/>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c:v>
                </c:pt>
                <c:pt idx="1">
                  <c:v>0.788972190685865</c:v>
                </c:pt>
                <c:pt idx="2">
                  <c:v>0.753523557530246</c:v>
                </c:pt>
                <c:pt idx="3">
                  <c:v>0.724455179265135</c:v>
                </c:pt>
                <c:pt idx="4">
                  <c:v>0.700742723960465</c:v>
                </c:pt>
                <c:pt idx="5">
                  <c:v>0.681487143319787</c:v>
                </c:pt>
                <c:pt idx="6">
                  <c:v>0.665911692182295</c:v>
                </c:pt>
                <c:pt idx="7">
                  <c:v>0.653354628262525</c:v>
                </c:pt>
                <c:pt idx="8">
                  <c:v>0.643259013201105</c:v>
                </c:pt>
                <c:pt idx="9">
                  <c:v>0.635160969668136</c:v>
                </c:pt>
                <c:pt idx="10">
                  <c:v>0.628677505935023</c:v>
                </c:pt>
                <c:pt idx="11">
                  <c:v>0.623494713650248</c:v>
                </c:pt>
                <c:pt idx="12">
                  <c:v>0.619356852843756</c:v>
                </c:pt>
                <c:pt idx="13">
                  <c:v>0.616056598945661</c:v>
                </c:pt>
                <c:pt idx="14">
                  <c:v>0.613426550871423</c:v>
                </c:pt>
                <c:pt idx="15">
                  <c:v>0.611331982225637</c:v>
                </c:pt>
                <c:pt idx="16">
                  <c:v>0.609664747845787</c:v>
                </c:pt>
                <c:pt idx="17">
                  <c:v>0.608338222448603</c:v>
                </c:pt>
                <c:pt idx="18">
                  <c:v>0.607283135786332</c:v>
                </c:pt>
                <c:pt idx="19">
                  <c:v>0.606444170686283</c:v>
                </c:pt>
                <c:pt idx="20">
                  <c:v>0.60577720033778</c:v>
                </c:pt>
              </c:numCache>
            </c:numRef>
          </c:val>
          <c:smooth val="0"/>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7.70440424235908e-6</c:v>
                </c:pt>
                <c:pt idx="1">
                  <c:v>5.9611260816439e-6</c:v>
                </c:pt>
                <c:pt idx="2">
                  <c:v>4.86117956444154e-6</c:v>
                </c:pt>
                <c:pt idx="3">
                  <c:v>3.76123304723919e-6</c:v>
                </c:pt>
                <c:pt idx="4">
                  <c:v>3.76123304723919e-6</c:v>
                </c:pt>
                <c:pt idx="5">
                  <c:v>3.76123304723919e-6</c:v>
                </c:pt>
                <c:pt idx="6">
                  <c:v>2.35300872675204e-6</c:v>
                </c:pt>
                <c:pt idx="7">
                  <c:v>9.44784406264887e-7</c:v>
                </c:pt>
                <c:pt idx="8">
                  <c:v>9.44784406264887e-7</c:v>
                </c:pt>
                <c:pt idx="9">
                  <c:v>9.44784406264887e-7</c:v>
                </c:pt>
                <c:pt idx="10">
                  <c:v>7.70451824561036e-7</c:v>
                </c:pt>
                <c:pt idx="11">
                  <c:v>5.96119242857185e-7</c:v>
                </c:pt>
                <c:pt idx="12">
                  <c:v>4.86122614384854e-7</c:v>
                </c:pt>
                <c:pt idx="13">
                  <c:v>3.76125985912523e-7</c:v>
                </c:pt>
                <c:pt idx="14">
                  <c:v>3.06722780507585e-7</c:v>
                </c:pt>
                <c:pt idx="15">
                  <c:v>2.37319575102646e-7</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0.0756538414766417</c:v>
                </c:pt>
                <c:pt idx="1">
                  <c:v>0.0493614780587626</c:v>
                </c:pt>
                <c:pt idx="2">
                  <c:v>0.0493614623514493</c:v>
                </c:pt>
                <c:pt idx="3">
                  <c:v>0.0339123678061881</c:v>
                </c:pt>
                <c:pt idx="4">
                  <c:v>0.0339122604830822</c:v>
                </c:pt>
                <c:pt idx="5">
                  <c:v>0.0225495862964609</c:v>
                </c:pt>
                <c:pt idx="6">
                  <c:v>0.022549584154119</c:v>
                </c:pt>
                <c:pt idx="7">
                  <c:v>0.0225495824524025</c:v>
                </c:pt>
                <c:pt idx="8">
                  <c:v>0.0225495811006393</c:v>
                </c:pt>
                <c:pt idx="9">
                  <c:v>0.0225495800269537</c:v>
                </c:pt>
                <c:pt idx="10">
                  <c:v>0.0225495791740582</c:v>
                </c:pt>
                <c:pt idx="11">
                  <c:v>0.0225495784965668</c:v>
                </c:pt>
                <c:pt idx="12">
                  <c:v>0.0225495779584417</c:v>
                </c:pt>
                <c:pt idx="13">
                  <c:v>0.0225495775309836</c:v>
                </c:pt>
                <c:pt idx="14">
                  <c:v>0.0225495771914774</c:v>
                </c:pt>
                <c:pt idx="15">
                  <c:v>0.0225495769217488</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0.0346620230306183</c:v>
                </c:pt>
                <c:pt idx="1">
                  <c:v>0.0333059274956082</c:v>
                </c:pt>
                <c:pt idx="2">
                  <c:v>0.0321771143360738</c:v>
                </c:pt>
                <c:pt idx="3">
                  <c:v>0.0311708728168769</c:v>
                </c:pt>
                <c:pt idx="4">
                  <c:v>0.0304012800182107</c:v>
                </c:pt>
                <c:pt idx="5">
                  <c:v>0.0297727226630573</c:v>
                </c:pt>
                <c:pt idx="6">
                  <c:v>0.0292618530841393</c:v>
                </c:pt>
                <c:pt idx="7">
                  <c:v>0.0288483543569362</c:v>
                </c:pt>
                <c:pt idx="8">
                  <c:v>0.0285148315022354</c:v>
                </c:pt>
                <c:pt idx="9">
                  <c:v>0.0282465941545684</c:v>
                </c:pt>
                <c:pt idx="10">
                  <c:v>0.0280313774727481</c:v>
                </c:pt>
                <c:pt idx="11">
                  <c:v>0.0278590384154898</c:v>
                </c:pt>
                <c:pt idx="12">
                  <c:v>0.0277212538505101</c:v>
                </c:pt>
                <c:pt idx="13">
                  <c:v>0.0276112373711501</c:v>
                </c:pt>
                <c:pt idx="14">
                  <c:v>0.0275234841033201</c:v>
                </c:pt>
                <c:pt idx="15">
                  <c:v>0.0274535473337112</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2.81807629605526</c:v>
                </c:pt>
                <c:pt idx="1">
                  <c:v>2.10005510812115</c:v>
                </c:pt>
                <c:pt idx="2">
                  <c:v>1.54708071958493</c:v>
                </c:pt>
                <c:pt idx="3">
                  <c:v>1.54708071945142</c:v>
                </c:pt>
                <c:pt idx="4">
                  <c:v>1.54708071934535</c:v>
                </c:pt>
                <c:pt idx="5">
                  <c:v>1.54708071926108</c:v>
                </c:pt>
                <c:pt idx="6">
                  <c:v>1.5126129092938</c:v>
                </c:pt>
                <c:pt idx="7">
                  <c:v>1.51261215293044</c:v>
                </c:pt>
                <c:pt idx="8">
                  <c:v>1.51261155212962</c:v>
                </c:pt>
                <c:pt idx="9">
                  <c:v>1.51261107489657</c:v>
                </c:pt>
                <c:pt idx="10">
                  <c:v>1.5126106958169</c:v>
                </c:pt>
                <c:pt idx="11">
                  <c:v>1.51261039470318</c:v>
                </c:pt>
                <c:pt idx="12">
                  <c:v>1.51261015552006</c:v>
                </c:pt>
                <c:pt idx="13">
                  <c:v>1.51260996553011</c:v>
                </c:pt>
                <c:pt idx="14">
                  <c:v>1.51260981461581</c:v>
                </c:pt>
                <c:pt idx="15">
                  <c:v>1.51260969474026</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0.861792562254349</c:v>
                </c:pt>
                <c:pt idx="2">
                  <c:v>0.837285157945877</c:v>
                </c:pt>
                <c:pt idx="3">
                  <c:v>0.812752537776718</c:v>
                </c:pt>
                <c:pt idx="4">
                  <c:v>0.795765401344262</c:v>
                </c:pt>
                <c:pt idx="5">
                  <c:v>0.781839849953792</c:v>
                </c:pt>
                <c:pt idx="6">
                  <c:v>0.770487539663312</c:v>
                </c:pt>
                <c:pt idx="7">
                  <c:v>0.761276568021818</c:v>
                </c:pt>
                <c:pt idx="8">
                  <c:v>0.753832524361675</c:v>
                </c:pt>
                <c:pt idx="9">
                  <c:v>0.747836169022487</c:v>
                </c:pt>
                <c:pt idx="10">
                  <c:v>0.743018986016164</c:v>
                </c:pt>
                <c:pt idx="11">
                  <c:v>0.73915762521044</c:v>
                </c:pt>
                <c:pt idx="12">
                  <c:v>0.736067981407362</c:v>
                </c:pt>
                <c:pt idx="13">
                  <c:v>0.733599408985552</c:v>
                </c:pt>
                <c:pt idx="14">
                  <c:v>0.731629369565312</c:v>
                </c:pt>
                <c:pt idx="15">
                  <c:v>0.730058662304645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0.703688002161618</c:v>
                </c:pt>
                <c:pt idx="1">
                  <c:v>0.555811017249541</c:v>
                </c:pt>
                <c:pt idx="2">
                  <c:v>0.35949979785207</c:v>
                </c:pt>
                <c:pt idx="3">
                  <c:v>0.26124237565025</c:v>
                </c:pt>
                <c:pt idx="4">
                  <c:v>0.179211682398472</c:v>
                </c:pt>
                <c:pt idx="5">
                  <c:v>0.157612652905725</c:v>
                </c:pt>
                <c:pt idx="6">
                  <c:v>0.08993698645543</c:v>
                </c:pt>
                <c:pt idx="7">
                  <c:v>0.0693935604504703</c:v>
                </c:pt>
                <c:pt idx="8">
                  <c:v>0.0553065150911913</c:v>
                </c:pt>
                <c:pt idx="9">
                  <c:v>0.021365294936071</c:v>
                </c:pt>
                <c:pt idx="10">
                  <c:v>0.0213399703093975</c:v>
                </c:pt>
                <c:pt idx="11">
                  <c:v>0.0213198542341142</c:v>
                </c:pt>
                <c:pt idx="12">
                  <c:v>0.0213038754618644</c:v>
                </c:pt>
                <c:pt idx="13">
                  <c:v>0.0180862060349285</c:v>
                </c:pt>
                <c:pt idx="14">
                  <c:v>0.0145444343663481</c:v>
                </c:pt>
                <c:pt idx="15">
                  <c:v>0.0117309260179055</c:v>
                </c:pt>
                <c:pt idx="16">
                  <c:v>0.00949596387668228</c:v>
                </c:pt>
                <c:pt idx="17">
                  <c:v>0.00772059902808264</c:v>
                </c:pt>
                <c:pt idx="18">
                  <c:v>0.00631033160169991</c:v>
                </c:pt>
                <c:pt idx="19">
                  <c:v>0.00519008797200682</c:v>
                </c:pt>
                <c:pt idx="20">
                  <c:v>0.0043002289110361</c:v>
                </c:pt>
              </c:numCache>
            </c:numRef>
          </c:val>
          <c:smooth val="0"/>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0.0679924299592738</c:v>
                </c:pt>
                <c:pt idx="1">
                  <c:v>0.046219172703299</c:v>
                </c:pt>
                <c:pt idx="2">
                  <c:v>0.0325294809573662</c:v>
                </c:pt>
                <c:pt idx="3">
                  <c:v>0.0161678668185838</c:v>
                </c:pt>
                <c:pt idx="4">
                  <c:v>0.011491470391356</c:v>
                </c:pt>
                <c:pt idx="5">
                  <c:v>0.00859506008682454</c:v>
                </c:pt>
                <c:pt idx="6">
                  <c:v>0.00675260238719444</c:v>
                </c:pt>
                <c:pt idx="7">
                  <c:v>0.00670059226591802</c:v>
                </c:pt>
                <c:pt idx="8">
                  <c:v>0.00665927911918107</c:v>
                </c:pt>
                <c:pt idx="9">
                  <c:v>0.00662646289578683</c:v>
                </c:pt>
                <c:pt idx="10">
                  <c:v>0.00660039602750073</c:v>
                </c:pt>
                <c:pt idx="11">
                  <c:v>0.00373210034232407</c:v>
                </c:pt>
                <c:pt idx="12" c:formatCode="0.00E+00">
                  <c:v>5.32142055975626e-6</c:v>
                </c:pt>
                <c:pt idx="13" c:formatCode="0.00E+00">
                  <c:v>4.26885794491128e-6</c:v>
                </c:pt>
                <c:pt idx="14" c:formatCode="0.00E+00">
                  <c:v>3.43277771763795e-6</c:v>
                </c:pt>
                <c:pt idx="15" c:formatCode="0.00E+00">
                  <c:v>2.76865557147232e-6</c:v>
                </c:pt>
                <c:pt idx="16" c:formatCode="0.00E+00">
                  <c:v>2.24112455260439e-6</c:v>
                </c:pt>
                <c:pt idx="17" c:formatCode="0.00E+00">
                  <c:v>1.82209178856141e-6</c:v>
                </c:pt>
                <c:pt idx="18" c:formatCode="0.00E+00">
                  <c:v>1.48924227394431e-6</c:v>
                </c:pt>
                <c:pt idx="19" c:formatCode="0.00E+00">
                  <c:v>1.22485045439547e-6</c:v>
                </c:pt>
                <c:pt idx="20" c:formatCode="0.00E+00">
                  <c:v>1.01483654812995e-6</c:v>
                </c:pt>
              </c:numCache>
            </c:numRef>
          </c:val>
          <c:smooth val="0"/>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0.696350413521607</c:v>
                </c:pt>
                <c:pt idx="1">
                  <c:v>0.554945148625733</c:v>
                </c:pt>
                <c:pt idx="2">
                  <c:v>0.442093126645246</c:v>
                </c:pt>
                <c:pt idx="3">
                  <c:v>0.352114513619117</c:v>
                </c:pt>
                <c:pt idx="4">
                  <c:v>0.280427884321585</c:v>
                </c:pt>
                <c:pt idx="5">
                  <c:v>0.223349388335012</c:v>
                </c:pt>
                <c:pt idx="6">
                  <c:v>0.177924296583379</c:v>
                </c:pt>
                <c:pt idx="7">
                  <c:v>0.141787401453292</c:v>
                </c:pt>
                <c:pt idx="8">
                  <c:v>0.113048391184299</c:v>
                </c:pt>
                <c:pt idx="9">
                  <c:v>0.0901983991007319</c:v>
                </c:pt>
                <c:pt idx="10">
                  <c:v>0.0720342369890032</c:v>
                </c:pt>
                <c:pt idx="11">
                  <c:v>0.0575972314582834</c:v>
                </c:pt>
                <c:pt idx="12">
                  <c:v>0.0461240160366058</c:v>
                </c:pt>
                <c:pt idx="13">
                  <c:v>0.0370070475059005</c:v>
                </c:pt>
                <c:pt idx="14">
                  <c:v>0.0297629913724327</c:v>
                </c:pt>
                <c:pt idx="15">
                  <c:v>0.0240074501357125</c:v>
                </c:pt>
                <c:pt idx="16">
                  <c:v>0.0194347882973599</c:v>
                </c:pt>
                <c:pt idx="17">
                  <c:v>0.0158020429269827</c:v>
                </c:pt>
                <c:pt idx="18">
                  <c:v>0.0129161029824781</c:v>
                </c:pt>
                <c:pt idx="19">
                  <c:v>0.0106234999535179</c:v>
                </c:pt>
                <c:pt idx="20">
                  <c:v>0.00880228215149022</c:v>
                </c:pt>
              </c:numCache>
            </c:numRef>
          </c:val>
          <c:smooth val="0"/>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0.0406171647345244</c:v>
                </c:pt>
                <c:pt idx="1">
                  <c:v>0.0332520218942256</c:v>
                </c:pt>
                <c:pt idx="2">
                  <c:v>0.0258868790539268</c:v>
                </c:pt>
                <c:pt idx="3">
                  <c:v>0.0211803849842152</c:v>
                </c:pt>
                <c:pt idx="4">
                  <c:v>0.0164738909145035</c:v>
                </c:pt>
                <c:pt idx="5">
                  <c:v>0.0134703172042339</c:v>
                </c:pt>
                <c:pt idx="6">
                  <c:v>0.0104667434939643</c:v>
                </c:pt>
                <c:pt idx="7">
                  <c:v>0.00856682183679181</c:v>
                </c:pt>
                <c:pt idx="8">
                  <c:v>0.00666690017961935</c:v>
                </c:pt>
                <c:pt idx="9">
                  <c:v>0.00546143802379606</c:v>
                </c:pt>
                <c:pt idx="10">
                  <c:v>0.00425597586797277</c:v>
                </c:pt>
                <c:pt idx="11">
                  <c:v>0.00345635869697936</c:v>
                </c:pt>
                <c:pt idx="12">
                  <c:v>0.00265674152598594</c:v>
                </c:pt>
                <c:pt idx="13">
                  <c:v>0.00217395791874964</c:v>
                </c:pt>
                <c:pt idx="14">
                  <c:v>0.00169117431151333</c:v>
                </c:pt>
                <c:pt idx="15">
                  <c:v>0.00136798437727625</c:v>
                </c:pt>
                <c:pt idx="16">
                  <c:v>0.00104479444303918</c:v>
                </c:pt>
                <c:pt idx="17">
                  <c:v>0.000852125552031069</c:v>
                </c:pt>
                <c:pt idx="18">
                  <c:v>0.000659456661022961</c:v>
                </c:pt>
                <c:pt idx="19">
                  <c:v>0.00053781989846069</c:v>
                </c:pt>
                <c:pt idx="20">
                  <c:v>0.000416183135898418</c:v>
                </c:pt>
              </c:numCache>
            </c:numRef>
          </c:val>
          <c:smooth val="0"/>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c:v>
                </c:pt>
                <c:pt idx="2">
                  <c:v>0.216799211757235</c:v>
                </c:pt>
                <c:pt idx="3">
                  <c:v>0.173805316455133</c:v>
                </c:pt>
                <c:pt idx="4">
                  <c:v>0.138372037333168</c:v>
                </c:pt>
                <c:pt idx="5">
                  <c:v>0.1107856517503</c:v>
                </c:pt>
                <c:pt idx="6">
                  <c:v>0.0882791486940482</c:v>
                </c:pt>
                <c:pt idx="7">
                  <c:v>0.0705329144899625</c:v>
                </c:pt>
                <c:pt idx="8">
                  <c:v>0.0563193983226351</c:v>
                </c:pt>
                <c:pt idx="9">
                  <c:v>0.0451247729525206</c:v>
                </c:pt>
                <c:pt idx="10">
                  <c:v>0.0358291842027736</c:v>
                </c:pt>
                <c:pt idx="11">
                  <c:v>0.0287175223382619</c:v>
                </c:pt>
                <c:pt idx="12">
                  <c:v>0.0230547356658395</c:v>
                </c:pt>
                <c:pt idx="13">
                  <c:v>0.0185477734634842</c:v>
                </c:pt>
                <c:pt idx="14">
                  <c:v>0.0147772649912059</c:v>
                </c:pt>
                <c:pt idx="15">
                  <c:v>0.0119251982427571</c:v>
                </c:pt>
                <c:pt idx="16">
                  <c:v>0.00965741683915944</c:v>
                </c:pt>
                <c:pt idx="17">
                  <c:v>0.00785458858250099</c:v>
                </c:pt>
                <c:pt idx="18">
                  <c:v>0.00642162057040707</c:v>
                </c:pt>
                <c:pt idx="19">
                  <c:v>0.0052827833573188</c:v>
                </c:pt>
                <c:pt idx="20">
                  <c:v>0.00437779879979283</c:v>
                </c:pt>
              </c:numCache>
            </c:numRef>
          </c:val>
          <c:smooth val="0"/>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0.0377921821359761</c:v>
                </c:pt>
                <c:pt idx="1">
                  <c:v>0.0302444355727127</c:v>
                </c:pt>
                <c:pt idx="2">
                  <c:v>0.0241809017361816</c:v>
                </c:pt>
                <c:pt idx="3">
                  <c:v>0.019319152579278</c:v>
                </c:pt>
                <c:pt idx="4">
                  <c:v>0.015427427133885</c:v>
                </c:pt>
                <c:pt idx="5">
                  <c:v>0.012316523894973</c:v>
                </c:pt>
                <c:pt idx="6">
                  <c:v>0.00980319575024646</c:v>
                </c:pt>
                <c:pt idx="7">
                  <c:v>0.00782191209137695</c:v>
                </c:pt>
                <c:pt idx="8">
                  <c:v>0.00624278801422129</c:v>
                </c:pt>
                <c:pt idx="9">
                  <c:v>0.00498501792766115</c:v>
                </c:pt>
                <c:pt idx="10">
                  <c:v>0.00398374100378796</c:v>
                </c:pt>
                <c:pt idx="11">
                  <c:v>0.00318699701363778</c:v>
                </c:pt>
                <c:pt idx="12">
                  <c:v>0.00255322785757128</c:v>
                </c:pt>
                <c:pt idx="13">
                  <c:v>0.00204923929310041</c:v>
                </c:pt>
                <c:pt idx="14">
                  <c:v>0.00164854639891354</c:v>
                </c:pt>
                <c:pt idx="15">
                  <c:v>0.0013300360728441</c:v>
                </c:pt>
                <c:pt idx="16">
                  <c:v>0.00107688947399431</c:v>
                </c:pt>
                <c:pt idx="17">
                  <c:v>0.000875716289194806</c:v>
                </c:pt>
                <c:pt idx="18">
                  <c:v>0.000715860743183416</c:v>
                </c:pt>
                <c:pt idx="19">
                  <c:v>0.000588846294791168</c:v>
                </c:pt>
                <c:pt idx="20">
                  <c:v>0.000487931953818688</c:v>
                </c:pt>
              </c:numCache>
            </c:numRef>
          </c:val>
          <c:smooth val="0"/>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0.472550283617875</c:v>
                </c:pt>
                <c:pt idx="1">
                  <c:v>0.400975344415818</c:v>
                </c:pt>
                <c:pt idx="2">
                  <c:v>0.338768755843252</c:v>
                </c:pt>
                <c:pt idx="3">
                  <c:v>0.27935448603159</c:v>
                </c:pt>
                <c:pt idx="4">
                  <c:v>0.23266151487287</c:v>
                </c:pt>
                <c:pt idx="5">
                  <c:v>0.192767125249736</c:v>
                </c:pt>
                <c:pt idx="6">
                  <c:v>0.158929527480056</c:v>
                </c:pt>
                <c:pt idx="7">
                  <c:v>0.130444616443142</c:v>
                </c:pt>
                <c:pt idx="8">
                  <c:v>0.106643993404842</c:v>
                </c:pt>
                <c:pt idx="9">
                  <c:v>0.0868986612290651</c:v>
                </c:pt>
                <c:pt idx="10">
                  <c:v>0.070625438988523</c:v>
                </c:pt>
                <c:pt idx="11">
                  <c:v>0.0572932980704289</c:v>
                </c:pt>
                <c:pt idx="12">
                  <c:v>0.0464277343846299</c:v>
                </c:pt>
                <c:pt idx="13">
                  <c:v>0.0376123643546164</c:v>
                </c:pt>
                <c:pt idx="14">
                  <c:v>0.0304877862823801</c:v>
                </c:pt>
                <c:pt idx="15">
                  <c:v>0.0247482504363336</c:v>
                </c:pt>
                <c:pt idx="16">
                  <c:v>0.0201368655900326</c:v>
                </c:pt>
                <c:pt idx="17">
                  <c:v>0.0164400411410587</c:v>
                </c:pt>
                <c:pt idx="18">
                  <c:v>0.0134817281724009</c:v>
                </c:pt>
                <c:pt idx="19">
                  <c:v>0.0111178568192519</c:v>
                </c:pt>
                <c:pt idx="20">
                  <c:v>0.00923121496295263</c:v>
                </c:pt>
              </c:numCache>
            </c:numRef>
          </c:val>
          <c:smooth val="0"/>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0.0102506158813798</c:v>
                </c:pt>
                <c:pt idx="1">
                  <c:v>0.00836168859212338</c:v>
                </c:pt>
                <c:pt idx="2">
                  <c:v>0.006472761302867</c:v>
                </c:pt>
                <c:pt idx="3">
                  <c:v>0.00527940934346716</c:v>
                </c:pt>
                <c:pt idx="4">
                  <c:v>0.00408605738406731</c:v>
                </c:pt>
                <c:pt idx="5">
                  <c:v>0.00333249580467543</c:v>
                </c:pt>
                <c:pt idx="6">
                  <c:v>0.00257893422528355</c:v>
                </c:pt>
                <c:pt idx="7">
                  <c:v>0.00210322656997164</c:v>
                </c:pt>
                <c:pt idx="8">
                  <c:v>0.00162751891465973</c:v>
                </c:pt>
                <c:pt idx="9">
                  <c:v>0.00132727099798058</c:v>
                </c:pt>
                <c:pt idx="10">
                  <c:v>0.00102702308130143</c:v>
                </c:pt>
                <c:pt idx="11">
                  <c:v>0.000837540924764069</c:v>
                </c:pt>
                <c:pt idx="12">
                  <c:v>0.000648058768226711</c:v>
                </c:pt>
                <c:pt idx="13">
                  <c:v>0.000528488261447579</c:v>
                </c:pt>
                <c:pt idx="14">
                  <c:v>0.000408917754668448</c:v>
                </c:pt>
                <c:pt idx="15">
                  <c:v>0.000333467752283712</c:v>
                </c:pt>
                <c:pt idx="16">
                  <c:v>0.000258017749898976</c:v>
                </c:pt>
                <c:pt idx="17">
                  <c:v>0.000210409582535043</c:v>
                </c:pt>
                <c:pt idx="18">
                  <c:v>0.00016280141517111</c:v>
                </c:pt>
                <c:pt idx="19">
                  <c:v>0.000132761723004027</c:v>
                </c:pt>
                <c:pt idx="20">
                  <c:v>0.000102722030836944</c:v>
                </c:pt>
              </c:numCache>
            </c:numRef>
          </c:val>
          <c:smooth val="0"/>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0.036328</c:v>
                </c:pt>
                <c:pt idx="1">
                  <c:v>0.036188</c:v>
                </c:pt>
                <c:pt idx="2">
                  <c:v>0.032327</c:v>
                </c:pt>
                <c:pt idx="3">
                  <c:v>0.031921</c:v>
                </c:pt>
                <c:pt idx="4">
                  <c:v>0.027106</c:v>
                </c:pt>
                <c:pt idx="5">
                  <c:v>0.026142</c:v>
                </c:pt>
                <c:pt idx="6">
                  <c:v>0.025972</c:v>
                </c:pt>
                <c:pt idx="7">
                  <c:v>0.025592</c:v>
                </c:pt>
                <c:pt idx="8">
                  <c:v>0.024962</c:v>
                </c:pt>
                <c:pt idx="9">
                  <c:v>0.024748</c:v>
                </c:pt>
                <c:pt idx="10">
                  <c:v>0.024655</c:v>
                </c:pt>
              </c:numCache>
            </c:numRef>
          </c:val>
          <c:smooth val="0"/>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c:v>
                </c:pt>
                <c:pt idx="1">
                  <c:v>4.66086329765607</c:v>
                </c:pt>
                <c:pt idx="2">
                  <c:v>4.28017479616909</c:v>
                </c:pt>
                <c:pt idx="3">
                  <c:v>3.4335030583783</c:v>
                </c:pt>
                <c:pt idx="4">
                  <c:v>2.91387001536556</c:v>
                </c:pt>
                <c:pt idx="5">
                  <c:v>2.91369630633687</c:v>
                </c:pt>
                <c:pt idx="6">
                  <c:v>2.17526395820336</c:v>
                </c:pt>
                <c:pt idx="7">
                  <c:v>1.58741057820539</c:v>
                </c:pt>
                <c:pt idx="8">
                  <c:v>1.22949866238127</c:v>
                </c:pt>
                <c:pt idx="9">
                  <c:v>1.11314684072625</c:v>
                </c:pt>
                <c:pt idx="10">
                  <c:v>0.998802994628989</c:v>
                </c:pt>
                <c:pt idx="11">
                  <c:v>0.629583840795067</c:v>
                </c:pt>
                <c:pt idx="12">
                  <c:v>0.504699872484382</c:v>
                </c:pt>
                <c:pt idx="13">
                  <c:v>0.405276758939277</c:v>
                </c:pt>
                <c:pt idx="14">
                  <c:v>0.326160246241736</c:v>
                </c:pt>
                <c:pt idx="15">
                  <c:v>0.263225998872518</c:v>
                </c:pt>
                <c:pt idx="16">
                  <c:v>0.21317880022147</c:v>
                </c:pt>
                <c:pt idx="17">
                  <c:v>0.173389036000138</c:v>
                </c:pt>
                <c:pt idx="18">
                  <c:v>0.141760248259681</c:v>
                </c:pt>
                <c:pt idx="19">
                  <c:v>0.116622301189717</c:v>
                </c:pt>
                <c:pt idx="20">
                  <c:v>0.096645485409852</c:v>
                </c:pt>
              </c:numCache>
            </c:numRef>
          </c:val>
          <c:smooth val="0"/>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53.4777722230833</c:v>
                </c:pt>
                <c:pt idx="1">
                  <c:v>47.8939072785795</c:v>
                </c:pt>
                <c:pt idx="2">
                  <c:v>42.3648101113879</c:v>
                </c:pt>
                <c:pt idx="3">
                  <c:v>37.0207272564192</c:v>
                </c:pt>
                <c:pt idx="4">
                  <c:v>31.9754476389452</c:v>
                </c:pt>
                <c:pt idx="5">
                  <c:v>27.3177369815802</c:v>
                </c:pt>
                <c:pt idx="6">
                  <c:v>23.1068320129161</c:v>
                </c:pt>
                <c:pt idx="7">
                  <c:v>19.3721489464581</c:v>
                </c:pt>
                <c:pt idx="8">
                  <c:v>16.1164624803627</c:v>
                </c:pt>
                <c:pt idx="9">
                  <c:v>13.3212900530972</c:v>
                </c:pt>
                <c:pt idx="10">
                  <c:v>10.9531324695502</c:v>
                </c:pt>
                <c:pt idx="11">
                  <c:v>8.96947169039111</c:v>
                </c:pt>
                <c:pt idx="12">
                  <c:v>7.32383070704241</c:v>
                </c:pt>
                <c:pt idx="13">
                  <c:v>5.96959849165349</c:v>
                </c:pt>
                <c:pt idx="14">
                  <c:v>4.86262165357205</c:v>
                </c:pt>
                <c:pt idx="15">
                  <c:v>3.96273874809511</c:v>
                </c:pt>
                <c:pt idx="16">
                  <c:v>3.23450217051475</c:v>
                </c:pt>
                <c:pt idx="17">
                  <c:v>2.64733171948742</c:v>
                </c:pt>
                <c:pt idx="18">
                  <c:v>2.17530691279937</c:v>
                </c:pt>
                <c:pt idx="19">
                  <c:v>1.79675613999156</c:v>
                </c:pt>
                <c:pt idx="20">
                  <c:v>1.49375371210783</c:v>
                </c:pt>
              </c:numCache>
            </c:numRef>
          </c:val>
          <c:smooth val="0"/>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0.0540028030316386</c:v>
                </c:pt>
                <c:pt idx="1">
                  <c:v>0.0443306153685152</c:v>
                </c:pt>
                <c:pt idx="2">
                  <c:v>0.0346584277053919</c:v>
                </c:pt>
                <c:pt idx="3">
                  <c:v>0.0282353627404697</c:v>
                </c:pt>
                <c:pt idx="4">
                  <c:v>0.0218122977755475</c:v>
                </c:pt>
                <c:pt idx="5">
                  <c:v>0.0178809311701389</c:v>
                </c:pt>
                <c:pt idx="6">
                  <c:v>0.0139495645647303</c:v>
                </c:pt>
                <c:pt idx="7">
                  <c:v>0.011394988550828</c:v>
                </c:pt>
                <c:pt idx="8">
                  <c:v>0.00884041253692569</c:v>
                </c:pt>
                <c:pt idx="9">
                  <c:v>0.00725474002235549</c:v>
                </c:pt>
                <c:pt idx="10">
                  <c:v>0.00566906750778529</c:v>
                </c:pt>
                <c:pt idx="11">
                  <c:v>0.00461102749212405</c:v>
                </c:pt>
                <c:pt idx="12">
                  <c:v>0.00355298747646282</c:v>
                </c:pt>
                <c:pt idx="13">
                  <c:v>0.00291826463909572</c:v>
                </c:pt>
                <c:pt idx="14">
                  <c:v>0.00228354180172863</c:v>
                </c:pt>
                <c:pt idx="15">
                  <c:v>0.00188253752552159</c:v>
                </c:pt>
                <c:pt idx="16">
                  <c:v>0.00148153324931455</c:v>
                </c:pt>
                <c:pt idx="17">
                  <c:v>0.00117408381975492</c:v>
                </c:pt>
                <c:pt idx="18">
                  <c:v>0.000866634390195298</c:v>
                </c:pt>
                <c:pt idx="19">
                  <c:v>0.000706776884368265</c:v>
                </c:pt>
                <c:pt idx="20">
                  <c:v>0.000546919378541233</c:v>
                </c:pt>
              </c:numCache>
            </c:numRef>
          </c:val>
          <c:smooth val="0"/>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c:v>
                </c:pt>
                <c:pt idx="1">
                  <c:v>0.18055</c:v>
                </c:pt>
                <c:pt idx="2">
                  <c:v>0.12797</c:v>
                </c:pt>
                <c:pt idx="3">
                  <c:v>0.081133</c:v>
                </c:pt>
                <c:pt idx="4">
                  <c:v>0.071842</c:v>
                </c:pt>
                <c:pt idx="5">
                  <c:v>0.033445</c:v>
                </c:pt>
                <c:pt idx="6">
                  <c:v>0.032207</c:v>
                </c:pt>
                <c:pt idx="7">
                  <c:v>0.031332</c:v>
                </c:pt>
                <c:pt idx="8">
                  <c:v>0.031023</c:v>
                </c:pt>
                <c:pt idx="9">
                  <c:v>0.029548</c:v>
                </c:pt>
                <c:pt idx="10">
                  <c:v>0.029293</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c:v>
                </c:pt>
                <c:pt idx="1">
                  <c:v>0.47816572655891</c:v>
                </c:pt>
                <c:pt idx="2">
                  <c:v>0.384555218668647</c:v>
                </c:pt>
                <c:pt idx="3">
                  <c:v>0.308673570017359</c:v>
                </c:pt>
                <c:pt idx="4">
                  <c:v>0.247389499513684</c:v>
                </c:pt>
                <c:pt idx="5">
                  <c:v>0.198047480198749</c:v>
                </c:pt>
                <c:pt idx="6">
                  <c:v>0.158422144249615</c:v>
                </c:pt>
                <c:pt idx="7">
                  <c:v>0.127414865975117</c:v>
                </c:pt>
                <c:pt idx="8">
                  <c:v>0.102996944259282</c:v>
                </c:pt>
                <c:pt idx="9">
                  <c:v>0.0831455402691139</c:v>
                </c:pt>
                <c:pt idx="10">
                  <c:v>0.0670580374797836</c:v>
                </c:pt>
                <c:pt idx="11">
                  <c:v>0.0540594580705545</c:v>
                </c:pt>
                <c:pt idx="12">
                  <c:v>0.04358497504241</c:v>
                </c:pt>
                <c:pt idx="13">
                  <c:v>0.0351646002210382</c:v>
                </c:pt>
                <c:pt idx="14">
                  <c:v>0.0284095592213207</c:v>
                </c:pt>
                <c:pt idx="15">
                  <c:v>0.0230001087588527</c:v>
                </c:pt>
                <c:pt idx="16">
                  <c:v>0.0186746928580228</c:v>
                </c:pt>
                <c:pt idx="17">
                  <c:v>0.015220389970616</c:v>
                </c:pt>
                <c:pt idx="18">
                  <c:v>0.0124646055609468</c:v>
                </c:pt>
                <c:pt idx="19">
                  <c:v>0.0102679439390685</c:v>
                </c:pt>
                <c:pt idx="20">
                  <c:v>0.00851816866824784</c:v>
                </c:pt>
              </c:numCache>
            </c:numRef>
          </c:val>
          <c:smooth val="0"/>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9.91538884178935</c:v>
                </c:pt>
                <c:pt idx="1">
                  <c:v>8.56273049322403</c:v>
                </c:pt>
                <c:pt idx="2">
                  <c:v>7.36194354643621</c:v>
                </c:pt>
                <c:pt idx="3">
                  <c:v>6.01986198889484</c:v>
                </c:pt>
                <c:pt idx="4">
                  <c:v>5.06544003975604</c:v>
                </c:pt>
                <c:pt idx="5">
                  <c:v>4.23492520875387</c:v>
                </c:pt>
                <c:pt idx="6">
                  <c:v>3.51895875350865</c:v>
                </c:pt>
                <c:pt idx="7">
                  <c:v>2.90764548096603</c:v>
                </c:pt>
                <c:pt idx="8">
                  <c:v>2.39060892655435</c:v>
                </c:pt>
                <c:pt idx="9">
                  <c:v>1.95722714611757</c:v>
                </c:pt>
                <c:pt idx="10">
                  <c:v>1.59696172320988</c:v>
                </c:pt>
                <c:pt idx="11">
                  <c:v>1.29969245087946</c:v>
                </c:pt>
                <c:pt idx="12">
                  <c:v>1.05599495979696</c:v>
                </c:pt>
                <c:pt idx="13">
                  <c:v>0.857330520417378</c:v>
                </c:pt>
                <c:pt idx="14">
                  <c:v>0.696144124057127</c:v>
                </c:pt>
                <c:pt idx="15">
                  <c:v>0.56588383401681</c:v>
                </c:pt>
                <c:pt idx="16">
                  <c:v>0.46096169404313</c:v>
                </c:pt>
                <c:pt idx="17">
                  <c:v>0.376677008356371</c:v>
                </c:pt>
                <c:pt idx="18">
                  <c:v>0.309119667094076</c:v>
                </c:pt>
                <c:pt idx="19">
                  <c:v>0.255066745714566</c:v>
                </c:pt>
                <c:pt idx="20">
                  <c:v>0.211881272448051</c:v>
                </c:pt>
              </c:numCache>
            </c:numRef>
          </c:val>
          <c:smooth val="0"/>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0.0362216583710384</c:v>
                </c:pt>
                <c:pt idx="1">
                  <c:v>0.0295881828467348</c:v>
                </c:pt>
                <c:pt idx="2">
                  <c:v>0.0229547073224312</c:v>
                </c:pt>
                <c:pt idx="3">
                  <c:v>0.0187395096239162</c:v>
                </c:pt>
                <c:pt idx="4">
                  <c:v>0.0145243119254013</c:v>
                </c:pt>
                <c:pt idx="5">
                  <c:v>0.0118525208657627</c:v>
                </c:pt>
                <c:pt idx="6">
                  <c:v>0.00918072980612417</c:v>
                </c:pt>
                <c:pt idx="7">
                  <c:v>0.0074900061036165</c:v>
                </c:pt>
                <c:pt idx="8">
                  <c:v>0.00579928240110883</c:v>
                </c:pt>
                <c:pt idx="9">
                  <c:v>0.00473051937540658</c:v>
                </c:pt>
                <c:pt idx="10">
                  <c:v>0.00366175634970434</c:v>
                </c:pt>
                <c:pt idx="11">
                  <c:v>0.00298661498887021</c:v>
                </c:pt>
                <c:pt idx="12">
                  <c:v>0.00231147362803608</c:v>
                </c:pt>
                <c:pt idx="13">
                  <c:v>0.00188516925734294</c:v>
                </c:pt>
                <c:pt idx="14">
                  <c:v>0.00145886488664981</c:v>
                </c:pt>
                <c:pt idx="15">
                  <c:v>0.00118975765169282</c:v>
                </c:pt>
                <c:pt idx="16">
                  <c:v>0.000920650416735835</c:v>
                </c:pt>
                <c:pt idx="17">
                  <c:v>0.000750804432009256</c:v>
                </c:pt>
                <c:pt idx="18">
                  <c:v>0.000580958447282676</c:v>
                </c:pt>
                <c:pt idx="19">
                  <c:v>0.000473772628611924</c:v>
                </c:pt>
                <c:pt idx="20">
                  <c:v>0.000366586809941172</c:v>
                </c:pt>
              </c:numCache>
            </c:numRef>
          </c:val>
          <c:smooth val="0"/>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0.019381</c:v>
                </c:pt>
                <c:pt idx="1">
                  <c:v>0.0184806</c:v>
                </c:pt>
                <c:pt idx="2">
                  <c:v>0.016141</c:v>
                </c:pt>
                <c:pt idx="3">
                  <c:v>0.0122659</c:v>
                </c:pt>
                <c:pt idx="4">
                  <c:v>0.0091146</c:v>
                </c:pt>
                <c:pt idx="5">
                  <c:v>0.0051226</c:v>
                </c:pt>
                <c:pt idx="6">
                  <c:v>0.0048273</c:v>
                </c:pt>
                <c:pt idx="7">
                  <c:v>0.0046943</c:v>
                </c:pt>
                <c:pt idx="8">
                  <c:v>0.0045421</c:v>
                </c:pt>
                <c:pt idx="9">
                  <c:v>0.0042589</c:v>
                </c:pt>
                <c:pt idx="10">
                  <c:v>0.0036561</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c:v>
                </c:pt>
                <c:pt idx="1">
                  <c:v>2.94531106909359</c:v>
                </c:pt>
                <c:pt idx="2">
                  <c:v>2.3897483847942</c:v>
                </c:pt>
                <c:pt idx="3">
                  <c:v>1.88450286864473</c:v>
                </c:pt>
                <c:pt idx="4">
                  <c:v>1.5883054232268</c:v>
                </c:pt>
                <c:pt idx="5">
                  <c:v>1.27548065092756</c:v>
                </c:pt>
                <c:pt idx="6">
                  <c:v>1.10874531840098</c:v>
                </c:pt>
                <c:pt idx="7">
                  <c:v>0.728676969581299</c:v>
                </c:pt>
                <c:pt idx="8">
                  <c:v>0.559037129494033</c:v>
                </c:pt>
                <c:pt idx="9">
                  <c:v>0.428018273581532</c:v>
                </c:pt>
                <c:pt idx="10">
                  <c:v>0.319436359042824</c:v>
                </c:pt>
                <c:pt idx="11">
                  <c:v>0.184422319820465</c:v>
                </c:pt>
                <c:pt idx="12">
                  <c:v>0.167365006331766</c:v>
                </c:pt>
                <c:pt idx="13">
                  <c:v>0.15823115914434</c:v>
                </c:pt>
                <c:pt idx="14">
                  <c:v>0.138358571899011</c:v>
                </c:pt>
                <c:pt idx="15">
                  <c:v>0.0530995042703708</c:v>
                </c:pt>
                <c:pt idx="16">
                  <c:v>0.0265476988569047</c:v>
                </c:pt>
                <c:pt idx="17">
                  <c:v>0.0238383594072356</c:v>
                </c:pt>
                <c:pt idx="18">
                  <c:v>0.0216861497653542</c:v>
                </c:pt>
                <c:pt idx="19">
                  <c:v>0.0213199621092341</c:v>
                </c:pt>
                <c:pt idx="20">
                  <c:v>0.01946990161239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0.046084360700327</c:v>
                </c:pt>
                <c:pt idx="1">
                  <c:v>0.0443273834430435</c:v>
                </c:pt>
                <c:pt idx="2">
                  <c:v>0.038101393492096</c:v>
                </c:pt>
                <c:pt idx="3">
                  <c:v>0.0381009103473939</c:v>
                </c:pt>
                <c:pt idx="4">
                  <c:v>0.0381005265719048</c:v>
                </c:pt>
                <c:pt idx="5">
                  <c:v>0.0381002217282211</c:v>
                </c:pt>
                <c:pt idx="6">
                  <c:v>0.0380999795822512</c:v>
                </c:pt>
                <c:pt idx="7">
                  <c:v>0.0380997872388544</c:v>
                </c:pt>
                <c:pt idx="8">
                  <c:v>0.038099634455091</c:v>
                </c:pt>
                <c:pt idx="9">
                  <c:v>0.0380995130946138</c:v>
                </c:pt>
                <c:pt idx="10">
                  <c:v>0.0380994166945703</c:v>
                </c:pt>
                <c:pt idx="11">
                  <c:v>0.0380993401213114</c:v>
                </c:pt>
                <c:pt idx="12">
                  <c:v>0.0380801673747322</c:v>
                </c:pt>
                <c:pt idx="13">
                  <c:v>0.0379692914756702</c:v>
                </c:pt>
                <c:pt idx="14">
                  <c:v>0.0378812194190559</c:v>
                </c:pt>
                <c:pt idx="15">
                  <c:v>0.0378112611719272</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c:v>
                </c:pt>
                <c:pt idx="1">
                  <c:v>1.31427254245888</c:v>
                </c:pt>
                <c:pt idx="2">
                  <c:v>1.07892130087039</c:v>
                </c:pt>
                <c:pt idx="3">
                  <c:v>0.88098370281855</c:v>
                </c:pt>
                <c:pt idx="4">
                  <c:v>0.717614279485523</c:v>
                </c:pt>
                <c:pt idx="5">
                  <c:v>0.583455374304431</c:v>
                </c:pt>
                <c:pt idx="6">
                  <c:v>0.471975079021836</c:v>
                </c:pt>
                <c:pt idx="7">
                  <c:v>0.380857481242836</c:v>
                </c:pt>
                <c:pt idx="8">
                  <c:v>0.307326143879971</c:v>
                </c:pt>
                <c:pt idx="9">
                  <c:v>0.247376911495423</c:v>
                </c:pt>
                <c:pt idx="10">
                  <c:v>0.198173572931104</c:v>
                </c:pt>
                <c:pt idx="11">
                  <c:v>0.159124547634582</c:v>
                </c:pt>
                <c:pt idx="12">
                  <c:v>0.127766515264105</c:v>
                </c:pt>
                <c:pt idx="13">
                  <c:v>0.102852992619706</c:v>
                </c:pt>
                <c:pt idx="14">
                  <c:v>0.0832115912398956</c:v>
                </c:pt>
                <c:pt idx="15">
                  <c:v>0.0669608660105014</c:v>
                </c:pt>
                <c:pt idx="16">
                  <c:v>0.0544314875490781</c:v>
                </c:pt>
                <c:pt idx="17">
                  <c:v>0.0440694711191236</c:v>
                </c:pt>
                <c:pt idx="18">
                  <c:v>0.0361064212334616</c:v>
                </c:pt>
                <c:pt idx="19">
                  <c:v>0.0297646579967004</c:v>
                </c:pt>
                <c:pt idx="20">
                  <c:v>0.0247166241818531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8.61494501345179</c:v>
                </c:pt>
                <c:pt idx="1">
                  <c:v>7.79244012858871</c:v>
                </c:pt>
                <c:pt idx="2">
                  <c:v>5.66907118973481</c:v>
                </c:pt>
                <c:pt idx="3">
                  <c:v>5.50829646621503</c:v>
                </c:pt>
                <c:pt idx="4">
                  <c:v>4.94725501948233</c:v>
                </c:pt>
                <c:pt idx="5">
                  <c:v>4.94642988465326</c:v>
                </c:pt>
                <c:pt idx="6">
                  <c:v>4.94577444653781</c:v>
                </c:pt>
                <c:pt idx="7">
                  <c:v>4.82427167167447</c:v>
                </c:pt>
                <c:pt idx="8">
                  <c:v>4.70535605846746</c:v>
                </c:pt>
                <c:pt idx="9">
                  <c:v>4.61068575599333</c:v>
                </c:pt>
                <c:pt idx="10">
                  <c:v>4.37908015940549</c:v>
                </c:pt>
                <c:pt idx="11">
                  <c:v>3.5315680288697</c:v>
                </c:pt>
                <c:pt idx="12">
                  <c:v>2.84756722739158</c:v>
                </c:pt>
                <c:pt idx="13">
                  <c:v>2.30245204779423</c:v>
                </c:pt>
                <c:pt idx="14">
                  <c:v>1.85570978208546</c:v>
                </c:pt>
                <c:pt idx="15">
                  <c:v>1.50209570373938</c:v>
                </c:pt>
                <c:pt idx="16">
                  <c:v>1.2193861797472</c:v>
                </c:pt>
                <c:pt idx="17">
                  <c:v>1.10041577109977</c:v>
                </c:pt>
                <c:pt idx="18">
                  <c:v>1.04863477800913</c:v>
                </c:pt>
                <c:pt idx="19">
                  <c:v>0.708887435835592</c:v>
                </c:pt>
                <c:pt idx="20">
                  <c:v>0.555882524993034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endParaRPr lang="en-US"/>
          </a:p>
        </c:rich>
      </c:tx>
      <c:layout>
        <c:manualLayout>
          <c:xMode val="edge"/>
          <c:yMode val="edge"/>
          <c:x val="0.11748596166515"/>
          <c:y val="0.0165837479270315"/>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c:v>
                </c:pt>
                <c:pt idx="1">
                  <c:v>2.32605954862586</c:v>
                </c:pt>
                <c:pt idx="2">
                  <c:v>1.93276431997336</c:v>
                </c:pt>
                <c:pt idx="3">
                  <c:v>1.60470503760121</c:v>
                </c:pt>
                <c:pt idx="4">
                  <c:v>1.31646017754252</c:v>
                </c:pt>
                <c:pt idx="5">
                  <c:v>1.08231110322413</c:v>
                </c:pt>
                <c:pt idx="6">
                  <c:v>0.866916150189456</c:v>
                </c:pt>
                <c:pt idx="7">
                  <c:v>0.704680604061569</c:v>
                </c:pt>
                <c:pt idx="8">
                  <c:v>0.571198063631007</c:v>
                </c:pt>
                <c:pt idx="9">
                  <c:v>0.461999945211711</c:v>
                </c:pt>
                <c:pt idx="10">
                  <c:v>0.37311350546968</c:v>
                </c:pt>
                <c:pt idx="11">
                  <c:v>0.301070817772597</c:v>
                </c:pt>
                <c:pt idx="12">
                  <c:v>0.242892567675068</c:v>
                </c:pt>
                <c:pt idx="13">
                  <c:v>0.196054127137724</c:v>
                </c:pt>
                <c:pt idx="14">
                  <c:v>0.158440978221808</c:v>
                </c:pt>
                <c:pt idx="15">
                  <c:v>0.12829936338955</c:v>
                </c:pt>
                <c:pt idx="16">
                  <c:v>0.104186543148921</c:v>
                </c:pt>
                <c:pt idx="17">
                  <c:v>0.0849235922045222</c:v>
                </c:pt>
                <c:pt idx="18">
                  <c:v>0.0695524506852285</c:v>
                </c:pt>
                <c:pt idx="19">
                  <c:v>0.0572980308415683</c:v>
                </c:pt>
                <c:pt idx="20">
                  <c:v>0.0475355484750195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c:v>
                </c:pt>
                <c:pt idx="3">
                  <c:v>0.248187487887708</c:v>
                </c:pt>
                <c:pt idx="4">
                  <c:v>0.215547136543659</c:v>
                </c:pt>
                <c:pt idx="5">
                  <c:v>0.189476719912107</c:v>
                </c:pt>
                <c:pt idx="6">
                  <c:v>0.188417476255964</c:v>
                </c:pt>
                <c:pt idx="7">
                  <c:v>0.170399237133556</c:v>
                </c:pt>
                <c:pt idx="8">
                  <c:v>0.16492930298071</c:v>
                </c:pt>
                <c:pt idx="9">
                  <c:v>0.145874811704005</c:v>
                </c:pt>
                <c:pt idx="10">
                  <c:v>0.125583291168263</c:v>
                </c:pt>
                <c:pt idx="11">
                  <c:v>0.0583340863098192</c:v>
                </c:pt>
                <c:pt idx="12">
                  <c:v>0.0387590255988446</c:v>
                </c:pt>
                <c:pt idx="13">
                  <c:v>0.0310949811332617</c:v>
                </c:pt>
                <c:pt idx="14">
                  <c:v>0.0100718573375902</c:v>
                </c:pt>
                <c:pt idx="15">
                  <c:v>0.0100555720594753</c:v>
                </c:pt>
                <c:pt idx="16">
                  <c:v>0.0100426361995809</c:v>
                </c:pt>
                <c:pt idx="17">
                  <c:v>0.0100323608783537</c:v>
                </c:pt>
                <c:pt idx="18">
                  <c:v>0.0100241988990391</c:v>
                </c:pt>
                <c:pt idx="19">
                  <c:v>0.00854055417626176</c:v>
                </c:pt>
                <c:pt idx="20">
                  <c:v>0.00739396765453426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c:v>
                </c:pt>
                <c:pt idx="1">
                  <c:v>0.138417611767383</c:v>
                </c:pt>
                <c:pt idx="2">
                  <c:v>0.110865223503476</c:v>
                </c:pt>
                <c:pt idx="3">
                  <c:v>0.0887117833353379</c:v>
                </c:pt>
                <c:pt idx="4">
                  <c:v>0.0709907079615824</c:v>
                </c:pt>
                <c:pt idx="5">
                  <c:v>0.0567222078725616</c:v>
                </c:pt>
                <c:pt idx="6">
                  <c:v>0.0452458924351085</c:v>
                </c:pt>
                <c:pt idx="7">
                  <c:v>0.036201234570088</c:v>
                </c:pt>
                <c:pt idx="8">
                  <c:v>0.0287918143148991</c:v>
                </c:pt>
                <c:pt idx="9">
                  <c:v>0.0230184221916563</c:v>
                </c:pt>
                <c:pt idx="10">
                  <c:v>0.0184129314680148</c:v>
                </c:pt>
                <c:pt idx="11">
                  <c:v>0.0147420187733061</c:v>
                </c:pt>
                <c:pt idx="12">
                  <c:v>0.0118179619692627</c:v>
                </c:pt>
                <c:pt idx="13">
                  <c:v>0.0094900710464696</c:v>
                </c:pt>
                <c:pt idx="14">
                  <c:v>0.00763761516670014</c:v>
                </c:pt>
                <c:pt idx="15">
                  <c:v>0.00616402177526787</c:v>
                </c:pt>
                <c:pt idx="16">
                  <c:v>0.00499214532239112</c:v>
                </c:pt>
                <c:pt idx="17">
                  <c:v>0.00406042664017337</c:v>
                </c:pt>
                <c:pt idx="18">
                  <c:v>0.00331978776852981</c:v>
                </c:pt>
                <c:pt idx="19">
                  <c:v>0.0027311297580046</c:v>
                </c:pt>
                <c:pt idx="20">
                  <c:v>0.00226332191379797</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3.84448032631353</c:v>
                </c:pt>
                <c:pt idx="1">
                  <c:v>3.84321245441925</c:v>
                </c:pt>
                <c:pt idx="2">
                  <c:v>3.28107129911284</c:v>
                </c:pt>
                <c:pt idx="3">
                  <c:v>2.22926714882477</c:v>
                </c:pt>
                <c:pt idx="4">
                  <c:v>2.22924370890365</c:v>
                </c:pt>
                <c:pt idx="5">
                  <c:v>2.22922508990439</c:v>
                </c:pt>
                <c:pt idx="6">
                  <c:v>1.96381540592635</c:v>
                </c:pt>
                <c:pt idx="7">
                  <c:v>1.5650776522665</c:v>
                </c:pt>
                <c:pt idx="8">
                  <c:v>1.24602619298899</c:v>
                </c:pt>
                <c:pt idx="9">
                  <c:v>0.991114431324403</c:v>
                </c:pt>
                <c:pt idx="10">
                  <c:v>0.787689491520149</c:v>
                </c:pt>
                <c:pt idx="11">
                  <c:v>0.625505634553103</c:v>
                </c:pt>
                <c:pt idx="12">
                  <c:v>0.496299413874501</c:v>
                </c:pt>
                <c:pt idx="13">
                  <c:v>0.39342717591766</c:v>
                </c:pt>
                <c:pt idx="14">
                  <c:v>0.354667586717572</c:v>
                </c:pt>
                <c:pt idx="15">
                  <c:v>0.345528830561825</c:v>
                </c:pt>
                <c:pt idx="16">
                  <c:v>0.279877374104887</c:v>
                </c:pt>
                <c:pt idx="17">
                  <c:v>0.227666794982273</c:v>
                </c:pt>
                <c:pt idx="18">
                  <c:v>0.186155418792977</c:v>
                </c:pt>
                <c:pt idx="19">
                  <c:v>0.153157097254231</c:v>
                </c:pt>
                <c:pt idx="20">
                  <c:v>0.126930021462091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c:v>
                </c:pt>
                <c:pt idx="1">
                  <c:v>0.270254918956148</c:v>
                </c:pt>
                <c:pt idx="2">
                  <c:v>0.220162197942475</c:v>
                </c:pt>
                <c:pt idx="3">
                  <c:v>0.179275008435542</c:v>
                </c:pt>
                <c:pt idx="4">
                  <c:v>0.145525151641013</c:v>
                </c:pt>
                <c:pt idx="5">
                  <c:v>0.117801783630855</c:v>
                </c:pt>
                <c:pt idx="6">
                  <c:v>0.0951345835329187</c:v>
                </c:pt>
                <c:pt idx="7">
                  <c:v>0.0766814324559051</c:v>
                </c:pt>
                <c:pt idx="8">
                  <c:v>0.0617175980407003</c:v>
                </c:pt>
                <c:pt idx="9">
                  <c:v>0.0496252164928213</c:v>
                </c:pt>
                <c:pt idx="10">
                  <c:v>0.0398825651778068</c:v>
                </c:pt>
                <c:pt idx="11">
                  <c:v>0.0320531305983751</c:v>
                </c:pt>
                <c:pt idx="12">
                  <c:v>0.0257747485631121</c:v>
                </c:pt>
                <c:pt idx="13">
                  <c:v>0.0207491687238104</c:v>
                </c:pt>
                <c:pt idx="14">
                  <c:v>0.0167323497756833</c:v>
                </c:pt>
                <c:pt idx="15">
                  <c:v>0.0135256928709526</c:v>
                </c:pt>
                <c:pt idx="16">
                  <c:v>0.0109683153408757</c:v>
                </c:pt>
                <c:pt idx="17">
                  <c:v>0.00893037863413104</c:v>
                </c:pt>
                <c:pt idx="18">
                  <c:v>0.00730742157557529</c:v>
                </c:pt>
                <c:pt idx="19">
                  <c:v>0.00601561170301412</c:v>
                </c:pt>
                <c:pt idx="20">
                  <c:v>0.0049878087209243</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2.9226157730317</c:v>
                </c:pt>
                <c:pt idx="1">
                  <c:v>2.36540255315618</c:v>
                </c:pt>
                <c:pt idx="2">
                  <c:v>1.80647636877119</c:v>
                </c:pt>
                <c:pt idx="3">
                  <c:v>1.34512890219776</c:v>
                </c:pt>
                <c:pt idx="4">
                  <c:v>1.15595002991641</c:v>
                </c:pt>
                <c:pt idx="5">
                  <c:v>0.928773711062703</c:v>
                </c:pt>
                <c:pt idx="6">
                  <c:v>0.738239639635208</c:v>
                </c:pt>
                <c:pt idx="7">
                  <c:v>0.643611066114258</c:v>
                </c:pt>
                <c:pt idx="8">
                  <c:v>0.562116460128748</c:v>
                </c:pt>
                <c:pt idx="9">
                  <c:v>0.477461829869741</c:v>
                </c:pt>
                <c:pt idx="10">
                  <c:v>0.421048645660915</c:v>
                </c:pt>
                <c:pt idx="11">
                  <c:v>0.35411572689833</c:v>
                </c:pt>
                <c:pt idx="12">
                  <c:v>0.248413135342229</c:v>
                </c:pt>
                <c:pt idx="13">
                  <c:v>0.2148105745295</c:v>
                </c:pt>
                <c:pt idx="14">
                  <c:v>0.188997225785714</c:v>
                </c:pt>
                <c:pt idx="15">
                  <c:v>0.188085687818429</c:v>
                </c:pt>
                <c:pt idx="16">
                  <c:v>0.164943597601297</c:v>
                </c:pt>
                <c:pt idx="17">
                  <c:v>0.152164059931703</c:v>
                </c:pt>
                <c:pt idx="18">
                  <c:v>0.146067073019462</c:v>
                </c:pt>
                <c:pt idx="19">
                  <c:v>0.145956121071</c:v>
                </c:pt>
                <c:pt idx="20">
                  <c:v>0.0765824560374107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114298710669134"/>
          <c:y val="0.019900545626817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c:v>
                </c:pt>
                <c:pt idx="1">
                  <c:v>0.884021229008791</c:v>
                </c:pt>
                <c:pt idx="2">
                  <c:v>0.725940804436365</c:v>
                </c:pt>
                <c:pt idx="3">
                  <c:v>0.594454054376281</c:v>
                </c:pt>
                <c:pt idx="4">
                  <c:v>0.48508260548763</c:v>
                </c:pt>
                <c:pt idx="5">
                  <c:v>0.394178042637927</c:v>
                </c:pt>
                <c:pt idx="6">
                  <c:v>0.319177346894917</c:v>
                </c:pt>
                <c:pt idx="7">
                  <c:v>0.259167131176941</c:v>
                </c:pt>
                <c:pt idx="8">
                  <c:v>0.2094319677722</c:v>
                </c:pt>
                <c:pt idx="9">
                  <c:v>0.168429103714607</c:v>
                </c:pt>
                <c:pt idx="10">
                  <c:v>0.135997151111067</c:v>
                </c:pt>
                <c:pt idx="11">
                  <c:v>0.109362620387832</c:v>
                </c:pt>
                <c:pt idx="12">
                  <c:v>0.0881108249109919</c:v>
                </c:pt>
                <c:pt idx="13">
                  <c:v>0.0711256066332267</c:v>
                </c:pt>
                <c:pt idx="14">
                  <c:v>0.057275667467549</c:v>
                </c:pt>
                <c:pt idx="15">
                  <c:v>0.0462822196108825</c:v>
                </c:pt>
                <c:pt idx="16">
                  <c:v>0.0376289693883036</c:v>
                </c:pt>
                <c:pt idx="17">
                  <c:v>0.0307139754667674</c:v>
                </c:pt>
                <c:pt idx="18">
                  <c:v>0.0251940466667655</c:v>
                </c:pt>
                <c:pt idx="19">
                  <c:v>0.0206124749383196</c:v>
                </c:pt>
                <c:pt idx="20">
                  <c:v>0.0171039381232307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35355985903269"/>
          <c:y val="0.019900396685564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c:v>
                </c:pt>
                <c:pt idx="1">
                  <c:v>9.66396296951991</c:v>
                </c:pt>
                <c:pt idx="2">
                  <c:v>9.51230142908796</c:v>
                </c:pt>
                <c:pt idx="3">
                  <c:v>8.11864098784401</c:v>
                </c:pt>
                <c:pt idx="4">
                  <c:v>8.11342971458889</c:v>
                </c:pt>
                <c:pt idx="5">
                  <c:v>7.13628616847707</c:v>
                </c:pt>
                <c:pt idx="6">
                  <c:v>5.72176188925343</c:v>
                </c:pt>
                <c:pt idx="7">
                  <c:v>4.56703602380633</c:v>
                </c:pt>
                <c:pt idx="8">
                  <c:v>4.27137901069996</c:v>
                </c:pt>
                <c:pt idx="9">
                  <c:v>3.84653488121618</c:v>
                </c:pt>
                <c:pt idx="10">
                  <c:v>3.84487444169386</c:v>
                </c:pt>
                <c:pt idx="11">
                  <c:v>3.84355546677081</c:v>
                </c:pt>
                <c:pt idx="12">
                  <c:v>3.84250774192328</c:v>
                </c:pt>
                <c:pt idx="13">
                  <c:v>2.66538658703154</c:v>
                </c:pt>
                <c:pt idx="14">
                  <c:v>2.04512126357901</c:v>
                </c:pt>
                <c:pt idx="15">
                  <c:v>1.65116442327076</c:v>
                </c:pt>
                <c:pt idx="16">
                  <c:v>1.54003902070892</c:v>
                </c:pt>
                <c:pt idx="17">
                  <c:v>1.0841457990296</c:v>
                </c:pt>
                <c:pt idx="18">
                  <c:v>0.883199935085832</c:v>
                </c:pt>
                <c:pt idx="19">
                  <c:v>0.722999221014875</c:v>
                </c:pt>
                <c:pt idx="20">
                  <c:v>0.595377129112851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0.0129733641096141</c:v>
                </c:pt>
                <c:pt idx="1">
                  <c:v>0.0122258782390139</c:v>
                </c:pt>
                <c:pt idx="2">
                  <c:v>0.0116144953347441</c:v>
                </c:pt>
                <c:pt idx="3">
                  <c:v>0.0111167604324836</c:v>
                </c:pt>
                <c:pt idx="4">
                  <c:v>0.0107132055587655</c:v>
                </c:pt>
                <c:pt idx="5">
                  <c:v>0.0103871690789181</c:v>
                </c:pt>
                <c:pt idx="6">
                  <c:v>0.0101245572085573</c:v>
                </c:pt>
                <c:pt idx="7">
                  <c:v>0.00991357149161543</c:v>
                </c:pt>
                <c:pt idx="8">
                  <c:v>0.00974442391483699</c:v>
                </c:pt>
                <c:pt idx="9">
                  <c:v>0.00960905700351233</c:v>
                </c:pt>
                <c:pt idx="10">
                  <c:v>0.00950088114365366</c:v>
                </c:pt>
                <c:pt idx="11">
                  <c:v>0.0094145365688747</c:v>
                </c:pt>
                <c:pt idx="12">
                  <c:v>0.00934568351275145</c:v>
                </c:pt>
                <c:pt idx="13">
                  <c:v>0.00929082112570701</c:v>
                </c:pt>
                <c:pt idx="14">
                  <c:v>0.00924713385005438</c:v>
                </c:pt>
                <c:pt idx="15">
                  <c:v>0.00921236283634164</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7787655575311"/>
          <c:y val="0.026533996683250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1.62717144461326</c:v>
                </c:pt>
                <c:pt idx="2">
                  <c:v>1.34118846062339</c:v>
                </c:pt>
                <c:pt idx="3">
                  <c:v>1.10323824610635</c:v>
                </c:pt>
                <c:pt idx="4">
                  <c:v>0.90967448957413</c:v>
                </c:pt>
                <c:pt idx="5">
                  <c:v>0.746798044502095</c:v>
                </c:pt>
                <c:pt idx="6">
                  <c:v>0.610691406770925</c:v>
                </c:pt>
                <c:pt idx="7">
                  <c:v>0.497690941987905</c:v>
                </c:pt>
                <c:pt idx="8">
                  <c:v>0.412040617633147</c:v>
                </c:pt>
                <c:pt idx="9">
                  <c:v>0.341191089251158</c:v>
                </c:pt>
                <c:pt idx="10">
                  <c:v>0.281678859607959</c:v>
                </c:pt>
                <c:pt idx="11">
                  <c:v>0.231918740898951</c:v>
                </c:pt>
                <c:pt idx="12">
                  <c:v>0.190518119967098</c:v>
                </c:pt>
                <c:pt idx="13">
                  <c:v>0.156248935657166</c:v>
                </c:pt>
                <c:pt idx="14">
                  <c:v>0.128027672818376</c:v>
                </c:pt>
                <c:pt idx="15">
                  <c:v>0.104901401802382</c:v>
                </c:pt>
                <c:pt idx="16">
                  <c:v>0.0860374409926479</c:v>
                </c:pt>
                <c:pt idx="17">
                  <c:v>0.0707145324635672</c:v>
                </c:pt>
                <c:pt idx="18">
                  <c:v>0.0583141398936116</c:v>
                </c:pt>
                <c:pt idx="19">
                  <c:v>0.0483112428000143</c:v>
                </c:pt>
                <c:pt idx="20">
                  <c:v>0.0402645847724759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13.2904846827494</c:v>
                </c:pt>
                <c:pt idx="1">
                  <c:v>11.038250590104</c:v>
                </c:pt>
                <c:pt idx="2">
                  <c:v>9.07341011848089</c:v>
                </c:pt>
                <c:pt idx="3">
                  <c:v>7.21365535424781</c:v>
                </c:pt>
                <c:pt idx="4">
                  <c:v>6.05549367878627</c:v>
                </c:pt>
                <c:pt idx="5">
                  <c:v>4.6361005481198</c:v>
                </c:pt>
                <c:pt idx="6">
                  <c:v>3.65566681523449</c:v>
                </c:pt>
                <c:pt idx="7">
                  <c:v>2.86994900046532</c:v>
                </c:pt>
                <c:pt idx="8">
                  <c:v>2.31635594633831</c:v>
                </c:pt>
                <c:pt idx="9">
                  <c:v>1.73024645044786</c:v>
                </c:pt>
                <c:pt idx="10">
                  <c:v>1.45053993340549</c:v>
                </c:pt>
                <c:pt idx="11">
                  <c:v>1.22053275961771</c:v>
                </c:pt>
                <c:pt idx="12">
                  <c:v>1.04548776811668</c:v>
                </c:pt>
                <c:pt idx="13">
                  <c:v>0.898379112191539</c:v>
                </c:pt>
                <c:pt idx="14">
                  <c:v>0.687384055102769</c:v>
                </c:pt>
                <c:pt idx="15">
                  <c:v>0.580216976584458</c:v>
                </c:pt>
                <c:pt idx="16">
                  <c:v>0.470376487193613</c:v>
                </c:pt>
                <c:pt idx="17">
                  <c:v>0.444951385921055</c:v>
                </c:pt>
                <c:pt idx="18">
                  <c:v>0.42014029444617</c:v>
                </c:pt>
                <c:pt idx="19">
                  <c:v>0.369700053040933</c:v>
                </c:pt>
                <c:pt idx="20">
                  <c:v>0.330226934071576</c:v>
                </c:pt>
              </c:numCache>
            </c:numRef>
          </c:val>
          <c:smooth val="0"/>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42.9243575516121</c:v>
                </c:pt>
                <c:pt idx="1">
                  <c:v>39.3862669696686</c:v>
                </c:pt>
                <c:pt idx="2">
                  <c:v>35.9156282712495</c:v>
                </c:pt>
                <c:pt idx="3">
                  <c:v>32.5354031139981</c:v>
                </c:pt>
                <c:pt idx="4">
                  <c:v>29.2692255050538</c:v>
                </c:pt>
                <c:pt idx="5">
                  <c:v>26.1409995140574</c:v>
                </c:pt>
                <c:pt idx="6">
                  <c:v>23.1741720167043</c:v>
                </c:pt>
                <c:pt idx="7">
                  <c:v>20.3906947931525</c:v>
                </c:pt>
                <c:pt idx="8">
                  <c:v>17.8146117239244</c:v>
                </c:pt>
                <c:pt idx="9">
                  <c:v>15.5595612221335</c:v>
                </c:pt>
                <c:pt idx="10">
                  <c:v>13.5186886643052</c:v>
                </c:pt>
                <c:pt idx="11">
                  <c:v>11.6769546486714</c:v>
                </c:pt>
                <c:pt idx="12">
                  <c:v>10.0368223734209</c:v>
                </c:pt>
                <c:pt idx="13">
                  <c:v>8.5953934507688</c:v>
                </c:pt>
                <c:pt idx="14">
                  <c:v>7.34474354629196</c:v>
                </c:pt>
                <c:pt idx="15">
                  <c:v>6.27272803820191</c:v>
                </c:pt>
                <c:pt idx="16">
                  <c:v>5.36410062559456</c:v>
                </c:pt>
                <c:pt idx="17">
                  <c:v>4.60174838978861</c:v>
                </c:pt>
                <c:pt idx="18">
                  <c:v>3.96786221231259</c:v>
                </c:pt>
                <c:pt idx="19">
                  <c:v>3.44491470543603</c:v>
                </c:pt>
                <c:pt idx="20">
                  <c:v>3.01638357034008</c:v>
                </c:pt>
              </c:numCache>
            </c:numRef>
          </c:val>
          <c:smooth val="0"/>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c:v>
                </c:pt>
                <c:pt idx="2">
                  <c:v>12.5285380113337</c:v>
                </c:pt>
                <c:pt idx="3">
                  <c:v>10.1477500413607</c:v>
                </c:pt>
                <c:pt idx="4">
                  <c:v>8.43014407638577</c:v>
                </c:pt>
                <c:pt idx="5">
                  <c:v>6.71253811141082</c:v>
                </c:pt>
                <c:pt idx="6">
                  <c:v>5.37353910270308</c:v>
                </c:pt>
                <c:pt idx="7">
                  <c:v>4.03454009399535</c:v>
                </c:pt>
                <c:pt idx="8">
                  <c:v>3.28717134894307</c:v>
                </c:pt>
                <c:pt idx="9">
                  <c:v>2.53980260389078</c:v>
                </c:pt>
                <c:pt idx="10">
                  <c:v>2.06981245542808</c:v>
                </c:pt>
                <c:pt idx="11">
                  <c:v>1.59982230696537</c:v>
                </c:pt>
                <c:pt idx="12">
                  <c:v>1.28442027446697</c:v>
                </c:pt>
                <c:pt idx="13">
                  <c:v>0.969018241968578</c:v>
                </c:pt>
                <c:pt idx="14">
                  <c:v>0.752907345122267</c:v>
                </c:pt>
                <c:pt idx="15">
                  <c:v>0.536796448275956</c:v>
                </c:pt>
                <c:pt idx="16">
                  <c:v>0.45204490955465</c:v>
                </c:pt>
                <c:pt idx="17">
                  <c:v>0.367293370833344</c:v>
                </c:pt>
                <c:pt idx="18">
                  <c:v>0.300884196130136</c:v>
                </c:pt>
                <c:pt idx="19">
                  <c:v>0.234475021426928</c:v>
                </c:pt>
                <c:pt idx="20">
                  <c:v>0.192460818932605</c:v>
                </c:pt>
              </c:numCache>
            </c:numRef>
          </c:val>
          <c:smooth val="0"/>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c:v>
                </c:pt>
                <c:pt idx="3">
                  <c:v>8.8921</c:v>
                </c:pt>
                <c:pt idx="4">
                  <c:v>6.5516</c:v>
                </c:pt>
                <c:pt idx="5">
                  <c:v>4.6799</c:v>
                </c:pt>
                <c:pt idx="6">
                  <c:v>3.6495</c:v>
                </c:pt>
                <c:pt idx="7">
                  <c:v>2.0489</c:v>
                </c:pt>
                <c:pt idx="8">
                  <c:v>1.9196</c:v>
                </c:pt>
                <c:pt idx="9">
                  <c:v>1.5249</c:v>
                </c:pt>
                <c:pt idx="10">
                  <c:v>1.3613</c:v>
                </c:pt>
              </c:numCache>
            </c:numRef>
          </c:val>
          <c:smooth val="0"/>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19.91885</c:v>
                </c:pt>
                <c:pt idx="1">
                  <c:v>17.278513</c:v>
                </c:pt>
                <c:pt idx="2">
                  <c:v>14.948866</c:v>
                </c:pt>
                <c:pt idx="3">
                  <c:v>12.629895</c:v>
                </c:pt>
                <c:pt idx="4">
                  <c:v>10.985971</c:v>
                </c:pt>
                <c:pt idx="5">
                  <c:v>9.60659</c:v>
                </c:pt>
                <c:pt idx="6">
                  <c:v>8.524953</c:v>
                </c:pt>
                <c:pt idx="7">
                  <c:v>7.379921</c:v>
                </c:pt>
                <c:pt idx="8">
                  <c:v>6.498022</c:v>
                </c:pt>
                <c:pt idx="9">
                  <c:v>5.973758</c:v>
                </c:pt>
                <c:pt idx="10">
                  <c:v>5.319487</c:v>
                </c:pt>
                <c:pt idx="11">
                  <c:v>4.462493</c:v>
                </c:pt>
                <c:pt idx="12">
                  <c:v>3.52901</c:v>
                </c:pt>
                <c:pt idx="13">
                  <c:v>2.771835</c:v>
                </c:pt>
                <c:pt idx="14">
                  <c:v>2.05577</c:v>
                </c:pt>
                <c:pt idx="15">
                  <c:v>1.545181</c:v>
                </c:pt>
                <c:pt idx="16">
                  <c:v>1.241019</c:v>
                </c:pt>
                <c:pt idx="17">
                  <c:v>1.138084</c:v>
                </c:pt>
                <c:pt idx="18">
                  <c:v>1.061499</c:v>
                </c:pt>
                <c:pt idx="19">
                  <c:v>0.999763</c:v>
                </c:pt>
                <c:pt idx="20">
                  <c:v>0.950131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c:v>
                </c:pt>
                <c:pt idx="2">
                  <c:v>10.3943078664333</c:v>
                </c:pt>
                <c:pt idx="3">
                  <c:v>8.83568985795774</c:v>
                </c:pt>
                <c:pt idx="4">
                  <c:v>7.46335731836736</c:v>
                </c:pt>
                <c:pt idx="5">
                  <c:v>6.26715843150976</c:v>
                </c:pt>
                <c:pt idx="6">
                  <c:v>5.23469081676901</c:v>
                </c:pt>
                <c:pt idx="7">
                  <c:v>4.35195375702955</c:v>
                </c:pt>
                <c:pt idx="8">
                  <c:v>3.6040118551866</c:v>
                </c:pt>
                <c:pt idx="9">
                  <c:v>2.9756231311733</c:v>
                </c:pt>
                <c:pt idx="10">
                  <c:v>2.45179227573636</c:v>
                </c:pt>
                <c:pt idx="11">
                  <c:v>2.01822117157083</c:v>
                </c:pt>
                <c:pt idx="12">
                  <c:v>1.66164227374677</c:v>
                </c:pt>
                <c:pt idx="13">
                  <c:v>1.37003387720486</c:v>
                </c:pt>
                <c:pt idx="14">
                  <c:v>1.13272759953406</c:v>
                </c:pt>
                <c:pt idx="15">
                  <c:v>0.940426130558703</c:v>
                </c:pt>
                <c:pt idx="16">
                  <c:v>0.785152982096027</c:v>
                </c:pt>
                <c:pt idx="17">
                  <c:v>0.660156065100204</c:v>
                </c:pt>
                <c:pt idx="18">
                  <c:v>0.559784455746493</c:v>
                </c:pt>
                <c:pt idx="19">
                  <c:v>0.479353871583699</c:v>
                </c:pt>
                <c:pt idx="20">
                  <c:v>0.415012181792507</c:v>
                </c:pt>
              </c:numCache>
            </c:numRef>
          </c:val>
          <c:smooth val="0"/>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c:v>
                </c:pt>
                <c:pt idx="1">
                  <c:v>4.6337655669806</c:v>
                </c:pt>
                <c:pt idx="2">
                  <c:v>3.82728544071861</c:v>
                </c:pt>
                <c:pt idx="3">
                  <c:v>3.14824298975569</c:v>
                </c:pt>
                <c:pt idx="4">
                  <c:v>2.58451930205988</c:v>
                </c:pt>
                <c:pt idx="5">
                  <c:v>2.11708937503328</c:v>
                </c:pt>
                <c:pt idx="6">
                  <c:v>1.73001320989492</c:v>
                </c:pt>
                <c:pt idx="7">
                  <c:v>1.40736082696376</c:v>
                </c:pt>
                <c:pt idx="8">
                  <c:v>1.14390787423748</c:v>
                </c:pt>
                <c:pt idx="9">
                  <c:v>0.928303570997291</c:v>
                </c:pt>
                <c:pt idx="10">
                  <c:v>0.752576546925565</c:v>
                </c:pt>
                <c:pt idx="11">
                  <c:v>0.610705390489197</c:v>
                </c:pt>
                <c:pt idx="12">
                  <c:v>0.496317256633771</c:v>
                </c:pt>
                <c:pt idx="13">
                  <c:v>0.404385722214773</c:v>
                </c:pt>
                <c:pt idx="14">
                  <c:v>0.330762295492837</c:v>
                </c:pt>
                <c:pt idx="15">
                  <c:v>0.271885159195051</c:v>
                </c:pt>
                <c:pt idx="16">
                  <c:v>0.225277277512115</c:v>
                </c:pt>
                <c:pt idx="17">
                  <c:v>0.188419316072419</c:v>
                </c:pt>
                <c:pt idx="18">
                  <c:v>0.159266316729856</c:v>
                </c:pt>
                <c:pt idx="19">
                  <c:v>0.136041178374535</c:v>
                </c:pt>
                <c:pt idx="20">
                  <c:v>0.117596800945186</c:v>
                </c:pt>
              </c:numCache>
            </c:numRef>
          </c:val>
          <c:smooth val="0"/>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12.0900481143171</c:v>
                </c:pt>
                <c:pt idx="2">
                  <c:v>10.6002813762919</c:v>
                </c:pt>
                <c:pt idx="3">
                  <c:v>9.33368862570307</c:v>
                </c:pt>
                <c:pt idx="4">
                  <c:v>8.15796467153399</c:v>
                </c:pt>
                <c:pt idx="5">
                  <c:v>7.0401047900999</c:v>
                </c:pt>
                <c:pt idx="6">
                  <c:v>5.98665113544737</c:v>
                </c:pt>
                <c:pt idx="7">
                  <c:v>5.02882886804961</c:v>
                </c:pt>
                <c:pt idx="8">
                  <c:v>4.3279709862177</c:v>
                </c:pt>
                <c:pt idx="9">
                  <c:v>3.75247291180764</c:v>
                </c:pt>
                <c:pt idx="10">
                  <c:v>3.23372396679131</c:v>
                </c:pt>
                <c:pt idx="11">
                  <c:v>2.77187308223944</c:v>
                </c:pt>
                <c:pt idx="12">
                  <c:v>2.36579180862107</c:v>
                </c:pt>
                <c:pt idx="13">
                  <c:v>2.01311702575376</c:v>
                </c:pt>
                <c:pt idx="14">
                  <c:v>1.71042202709576</c:v>
                </c:pt>
                <c:pt idx="15">
                  <c:v>1.45347927789178</c:v>
                </c:pt>
                <c:pt idx="16">
                  <c:v>1.23756581553749</c:v>
                </c:pt>
                <c:pt idx="17">
                  <c:v>1.05776343183092</c:v>
                </c:pt>
                <c:pt idx="18">
                  <c:v>0.909217374317402</c:v>
                </c:pt>
                <c:pt idx="19">
                  <c:v>0.787333491014458</c:v>
                </c:pt>
                <c:pt idx="20">
                  <c:v>0.687908990332696</c:v>
                </c:pt>
              </c:numCache>
            </c:numRef>
          </c:val>
          <c:smooth val="0"/>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c:v>
                </c:pt>
                <c:pt idx="2">
                  <c:v>4.36917910006563</c:v>
                </c:pt>
                <c:pt idx="3">
                  <c:v>3.61378266460775</c:v>
                </c:pt>
                <c:pt idx="4">
                  <c:v>3.04952753334896</c:v>
                </c:pt>
                <c:pt idx="5">
                  <c:v>2.48527240209017</c:v>
                </c:pt>
                <c:pt idx="6">
                  <c:v>2.07526731074941</c:v>
                </c:pt>
                <c:pt idx="7">
                  <c:v>1.66526221940866</c:v>
                </c:pt>
                <c:pt idx="8">
                  <c:v>1.37897089258678</c:v>
                </c:pt>
                <c:pt idx="9">
                  <c:v>1.09267956576491</c:v>
                </c:pt>
                <c:pt idx="10">
                  <c:v>0.897876695971284</c:v>
                </c:pt>
                <c:pt idx="11">
                  <c:v>0.703073826177658</c:v>
                </c:pt>
                <c:pt idx="12">
                  <c:v>0.577015541584869</c:v>
                </c:pt>
                <c:pt idx="13">
                  <c:v>0.450957256992079</c:v>
                </c:pt>
                <c:pt idx="14">
                  <c:v>0.369233982067735</c:v>
                </c:pt>
                <c:pt idx="15">
                  <c:v>0.28751070714339</c:v>
                </c:pt>
                <c:pt idx="16">
                  <c:v>0.234897280669982</c:v>
                </c:pt>
                <c:pt idx="17">
                  <c:v>0.182283854196574</c:v>
                </c:pt>
                <c:pt idx="18">
                  <c:v>0.14883393187633</c:v>
                </c:pt>
                <c:pt idx="19">
                  <c:v>0.115384009556085</c:v>
                </c:pt>
                <c:pt idx="20">
                  <c:v>0.0942012825839111</c:v>
                </c:pt>
              </c:numCache>
            </c:numRef>
          </c:val>
          <c:smooth val="0"/>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7.0942</c:v>
                </c:pt>
                <c:pt idx="1">
                  <c:v>5.7809</c:v>
                </c:pt>
                <c:pt idx="2">
                  <c:v>4.5285</c:v>
                </c:pt>
                <c:pt idx="3">
                  <c:v>3.286</c:v>
                </c:pt>
                <c:pt idx="4">
                  <c:v>2.9018</c:v>
                </c:pt>
                <c:pt idx="5">
                  <c:v>2.6126</c:v>
                </c:pt>
                <c:pt idx="6">
                  <c:v>2.3524</c:v>
                </c:pt>
                <c:pt idx="7">
                  <c:v>1.4855</c:v>
                </c:pt>
                <c:pt idx="8">
                  <c:v>1.4767</c:v>
                </c:pt>
                <c:pt idx="9">
                  <c:v>1.2708</c:v>
                </c:pt>
                <c:pt idx="10">
                  <c:v>1.0258</c:v>
                </c:pt>
              </c:numCache>
            </c:numRef>
          </c:val>
          <c:smooth val="0"/>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c:v>
                </c:pt>
                <c:pt idx="1">
                  <c:v>3.248077</c:v>
                </c:pt>
                <c:pt idx="2">
                  <c:v>2.823415</c:v>
                </c:pt>
                <c:pt idx="3">
                  <c:v>2.447241</c:v>
                </c:pt>
                <c:pt idx="4">
                  <c:v>2.117082</c:v>
                </c:pt>
                <c:pt idx="5">
                  <c:v>1.828532</c:v>
                </c:pt>
                <c:pt idx="6">
                  <c:v>1.575435</c:v>
                </c:pt>
                <c:pt idx="7">
                  <c:v>1.355063</c:v>
                </c:pt>
                <c:pt idx="8">
                  <c:v>1.164681</c:v>
                </c:pt>
                <c:pt idx="9">
                  <c:v>0.999317</c:v>
                </c:pt>
                <c:pt idx="10">
                  <c:v>0.856807</c:v>
                </c:pt>
                <c:pt idx="11">
                  <c:v>0.735416</c:v>
                </c:pt>
                <c:pt idx="12">
                  <c:v>0.631855</c:v>
                </c:pt>
                <c:pt idx="13">
                  <c:v>0.543879</c:v>
                </c:pt>
                <c:pt idx="14">
                  <c:v>0.468398</c:v>
                </c:pt>
                <c:pt idx="15">
                  <c:v>0.405533</c:v>
                </c:pt>
                <c:pt idx="16">
                  <c:v>0.353193</c:v>
                </c:pt>
                <c:pt idx="17">
                  <c:v>0.30841</c:v>
                </c:pt>
                <c:pt idx="18">
                  <c:v>0.271828</c:v>
                </c:pt>
                <c:pt idx="19">
                  <c:v>0.241429</c:v>
                </c:pt>
                <c:pt idx="20">
                  <c:v>0.216265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c:v>
                </c:pt>
                <c:pt idx="1">
                  <c:v>38.0867037243481</c:v>
                </c:pt>
                <c:pt idx="2">
                  <c:v>33.5185719903865</c:v>
                </c:pt>
                <c:pt idx="3">
                  <c:v>29.1491893050385</c:v>
                </c:pt>
                <c:pt idx="4">
                  <c:v>25.051884368848</c:v>
                </c:pt>
                <c:pt idx="5">
                  <c:v>21.3537643348915</c:v>
                </c:pt>
                <c:pt idx="6">
                  <c:v>17.9080118451788</c:v>
                </c:pt>
                <c:pt idx="7">
                  <c:v>14.8680074862324</c:v>
                </c:pt>
                <c:pt idx="8">
                  <c:v>12.1726373838673</c:v>
                </c:pt>
                <c:pt idx="9">
                  <c:v>9.84381121450836</c:v>
                </c:pt>
                <c:pt idx="10">
                  <c:v>7.8535534657592</c:v>
                </c:pt>
                <c:pt idx="11">
                  <c:v>6.2427570812442</c:v>
                </c:pt>
                <c:pt idx="12">
                  <c:v>4.89184940078078</c:v>
                </c:pt>
                <c:pt idx="13">
                  <c:v>3.80846440751651</c:v>
                </c:pt>
                <c:pt idx="14">
                  <c:v>2.93644962792438</c:v>
                </c:pt>
                <c:pt idx="15">
                  <c:v>2.30493344790811</c:v>
                </c:pt>
                <c:pt idx="16">
                  <c:v>1.84169979859498</c:v>
                </c:pt>
                <c:pt idx="17">
                  <c:v>1.47764582069121</c:v>
                </c:pt>
                <c:pt idx="18">
                  <c:v>1.20066126497953</c:v>
                </c:pt>
                <c:pt idx="19">
                  <c:v>0.986354913607879</c:v>
                </c:pt>
                <c:pt idx="20">
                  <c:v>0.811440669146668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c:v>
                </c:pt>
                <c:pt idx="1">
                  <c:v>19.0982776088063</c:v>
                </c:pt>
                <c:pt idx="2">
                  <c:v>16.3959682680128</c:v>
                </c:pt>
                <c:pt idx="3">
                  <c:v>13.9757929774101</c:v>
                </c:pt>
                <c:pt idx="4">
                  <c:v>11.8327488604544</c:v>
                </c:pt>
                <c:pt idx="5">
                  <c:v>9.95592199413913</c:v>
                </c:pt>
                <c:pt idx="6">
                  <c:v>8.32963322660387</c:v>
                </c:pt>
                <c:pt idx="7">
                  <c:v>6.93467652345248</c:v>
                </c:pt>
                <c:pt idx="8">
                  <c:v>5.74956121004829</c:v>
                </c:pt>
                <c:pt idx="9">
                  <c:v>4.75167791059377</c:v>
                </c:pt>
                <c:pt idx="10">
                  <c:v>3.91832285572734</c:v>
                </c:pt>
                <c:pt idx="11">
                  <c:v>3.22753536591529</c:v>
                </c:pt>
                <c:pt idx="12">
                  <c:v>2.65872630049409</c:v>
                </c:pt>
                <c:pt idx="13">
                  <c:v>2.19309776372791</c:v>
                </c:pt>
                <c:pt idx="14">
                  <c:v>1.8138730761212</c:v>
                </c:pt>
                <c:pt idx="15">
                  <c:v>1.50636867637077</c:v>
                </c:pt>
                <c:pt idx="16">
                  <c:v>1.25794552196244</c:v>
                </c:pt>
                <c:pt idx="17">
                  <c:v>1.05787750024694</c:v>
                </c:pt>
                <c:pt idx="18">
                  <c:v>0.897170074452447</c:v>
                </c:pt>
                <c:pt idx="19">
                  <c:v>0.768355843780566</c:v>
                </c:pt>
                <c:pt idx="20">
                  <c:v>0.665286583431124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25.3754793171874</c:v>
                </c:pt>
                <c:pt idx="1">
                  <c:v>22.2706232342311</c:v>
                </c:pt>
                <c:pt idx="2">
                  <c:v>19.1883374877386</c:v>
                </c:pt>
                <c:pt idx="3">
                  <c:v>16.3843579038981</c:v>
                </c:pt>
                <c:pt idx="4">
                  <c:v>13.7257669546386</c:v>
                </c:pt>
                <c:pt idx="5">
                  <c:v>11.2587485861784</c:v>
                </c:pt>
                <c:pt idx="6">
                  <c:v>9.10165297723781</c:v>
                </c:pt>
                <c:pt idx="7">
                  <c:v>7.30517404016455</c:v>
                </c:pt>
                <c:pt idx="8">
                  <c:v>5.82712863238059</c:v>
                </c:pt>
                <c:pt idx="9">
                  <c:v>4.52376904763101</c:v>
                </c:pt>
                <c:pt idx="10">
                  <c:v>3.45170187774267</c:v>
                </c:pt>
                <c:pt idx="11">
                  <c:v>2.73506490126412</c:v>
                </c:pt>
                <c:pt idx="12">
                  <c:v>2.17913278212342</c:v>
                </c:pt>
                <c:pt idx="13">
                  <c:v>1.72827001681467</c:v>
                </c:pt>
                <c:pt idx="14">
                  <c:v>1.40147805652534</c:v>
                </c:pt>
                <c:pt idx="15">
                  <c:v>1.15200648283323</c:v>
                </c:pt>
                <c:pt idx="16">
                  <c:v>0.929092172136337</c:v>
                </c:pt>
                <c:pt idx="17">
                  <c:v>0.77803381240168</c:v>
                </c:pt>
                <c:pt idx="18">
                  <c:v>0.649007093719378</c:v>
                </c:pt>
                <c:pt idx="19">
                  <c:v>0.544081199020041</c:v>
                </c:pt>
                <c:pt idx="20">
                  <c:v>0.478057573859381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c:v>
                </c:pt>
                <c:pt idx="4">
                  <c:v>7.75390507395983</c:v>
                </c:pt>
                <c:pt idx="5">
                  <c:v>6.53077716352678</c:v>
                </c:pt>
                <c:pt idx="6">
                  <c:v>5.4705327677867</c:v>
                </c:pt>
                <c:pt idx="7">
                  <c:v>4.56034413285191</c:v>
                </c:pt>
                <c:pt idx="8">
                  <c:v>3.78615593004118</c:v>
                </c:pt>
                <c:pt idx="9">
                  <c:v>3.13333875513935</c:v>
                </c:pt>
                <c:pt idx="10">
                  <c:v>2.58727895458529</c:v>
                </c:pt>
                <c:pt idx="11">
                  <c:v>2.1338696491047</c:v>
                </c:pt>
                <c:pt idx="12">
                  <c:v>1.75988431695359</c:v>
                </c:pt>
                <c:pt idx="13">
                  <c:v>1.45322976014076</c:v>
                </c:pt>
                <c:pt idx="14">
                  <c:v>1.20308755892656</c:v>
                </c:pt>
                <c:pt idx="15">
                  <c:v>0.999961221585699</c:v>
                </c:pt>
                <c:pt idx="16">
                  <c:v>0.835650160297474</c:v>
                </c:pt>
                <c:pt idx="17">
                  <c:v>0.703172056014223</c:v>
                </c:pt>
                <c:pt idx="18">
                  <c:v>0.596653137238568</c:v>
                </c:pt>
                <c:pt idx="19">
                  <c:v>0.511202457431847</c:v>
                </c:pt>
                <c:pt idx="20">
                  <c:v>0.442782327188063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c:v>
                </c:pt>
                <c:pt idx="1">
                  <c:v>37.8686493067103</c:v>
                </c:pt>
                <c:pt idx="2">
                  <c:v>33.3879103939044</c:v>
                </c:pt>
                <c:pt idx="3">
                  <c:v>29.1306085772397</c:v>
                </c:pt>
                <c:pt idx="4">
                  <c:v>25.1939680974005</c:v>
                </c:pt>
                <c:pt idx="5">
                  <c:v>21.5184067295203</c:v>
                </c:pt>
                <c:pt idx="6">
                  <c:v>18.140043073217</c:v>
                </c:pt>
                <c:pt idx="7">
                  <c:v>15.1222794423566</c:v>
                </c:pt>
                <c:pt idx="8">
                  <c:v>12.4624615772533</c:v>
                </c:pt>
                <c:pt idx="9">
                  <c:v>10.1816103687704</c:v>
                </c:pt>
                <c:pt idx="10">
                  <c:v>8.21023804989278</c:v>
                </c:pt>
                <c:pt idx="11">
                  <c:v>6.54713078154882</c:v>
                </c:pt>
                <c:pt idx="12">
                  <c:v>5.13274991044443</c:v>
                </c:pt>
                <c:pt idx="13">
                  <c:v>3.93099181406814</c:v>
                </c:pt>
                <c:pt idx="14">
                  <c:v>3.08120980361022</c:v>
                </c:pt>
                <c:pt idx="15">
                  <c:v>2.39595920414694</c:v>
                </c:pt>
                <c:pt idx="16">
                  <c:v>1.87913535640243</c:v>
                </c:pt>
                <c:pt idx="17">
                  <c:v>1.49413611021396</c:v>
                </c:pt>
                <c:pt idx="18">
                  <c:v>1.22281675024252</c:v>
                </c:pt>
                <c:pt idx="19">
                  <c:v>1.02867496347739</c:v>
                </c:pt>
                <c:pt idx="20">
                  <c:v>0.887225197902242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endParaRPr lang="en-US"/>
          </a:p>
        </c:rich>
      </c:tx>
      <c:layout>
        <c:manualLayout>
          <c:xMode val="edge"/>
          <c:yMode val="edge"/>
          <c:x val="0.149112896835608"/>
          <c:y val="0.019900552971419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22.3826815631355</c:v>
                </c:pt>
                <c:pt idx="1">
                  <c:v>19.4150174639996</c:v>
                </c:pt>
                <c:pt idx="2">
                  <c:v>16.7158261433671</c:v>
                </c:pt>
                <c:pt idx="3">
                  <c:v>14.2889826370166</c:v>
                </c:pt>
                <c:pt idx="4">
                  <c:v>12.1316674142929</c:v>
                </c:pt>
                <c:pt idx="5">
                  <c:v>10.2351157232809</c:v>
                </c:pt>
                <c:pt idx="6">
                  <c:v>8.58561100217229</c:v>
                </c:pt>
                <c:pt idx="7">
                  <c:v>7.16563357556141</c:v>
                </c:pt>
                <c:pt idx="8">
                  <c:v>5.95506544609724</c:v>
                </c:pt>
                <c:pt idx="9">
                  <c:v>4.93235556366273</c:v>
                </c:pt>
                <c:pt idx="10">
                  <c:v>4.07556590688453</c:v>
                </c:pt>
                <c:pt idx="11">
                  <c:v>3.36324286241581</c:v>
                </c:pt>
                <c:pt idx="12">
                  <c:v>2.77508544567092</c:v>
                </c:pt>
                <c:pt idx="13">
                  <c:v>2.29240702201139</c:v>
                </c:pt>
                <c:pt idx="14">
                  <c:v>1.89840699396183</c:v>
                </c:pt>
                <c:pt idx="15">
                  <c:v>1.57828187535451</c:v>
                </c:pt>
                <c:pt idx="16">
                  <c:v>1.31921133159342</c:v>
                </c:pt>
                <c:pt idx="17">
                  <c:v>1.11025526683984</c:v>
                </c:pt>
                <c:pt idx="18">
                  <c:v>0.942194554613851</c:v>
                </c:pt>
                <c:pt idx="19">
                  <c:v>0.807342273743106</c:v>
                </c:pt>
                <c:pt idx="20">
                  <c:v>0.699345808546503</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c:v>
                </c:pt>
                <c:pt idx="2">
                  <c:v>2.263493014942</c:v>
                </c:pt>
                <c:pt idx="3">
                  <c:v>2.20234097696734</c:v>
                </c:pt>
                <c:pt idx="4">
                  <c:v>2.15366675690037</c:v>
                </c:pt>
                <c:pt idx="5">
                  <c:v>2.11494048911586</c:v>
                </c:pt>
                <c:pt idx="6">
                  <c:v>2.08413928270308</c:v>
                </c:pt>
                <c:pt idx="7">
                  <c:v>2.05964782149338</c:v>
                </c:pt>
                <c:pt idx="8">
                  <c:v>2.04017763784321</c:v>
                </c:pt>
                <c:pt idx="9">
                  <c:v>2.02470185918008</c:v>
                </c:pt>
                <c:pt idx="10">
                  <c:v>2.01240265528859</c:v>
                </c:pt>
                <c:pt idx="11">
                  <c:v>2.00262903641979</c:v>
                </c:pt>
                <c:pt idx="12">
                  <c:v>1.9948630405456</c:v>
                </c:pt>
                <c:pt idx="13">
                  <c:v>1.98869269070929</c:v>
                </c:pt>
                <c:pt idx="14">
                  <c:v>1.9837903976</c:v>
                </c:pt>
              </c:numCache>
            </c:numRef>
          </c:val>
          <c:smooth val="0"/>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2.6656410997499</c:v>
                </c:pt>
                <c:pt idx="1">
                  <c:v>2.56064864459552</c:v>
                </c:pt>
                <c:pt idx="2">
                  <c:v>2.47695656493229</c:v>
                </c:pt>
                <c:pt idx="3">
                  <c:v>2.41029118750861</c:v>
                </c:pt>
                <c:pt idx="4">
                  <c:v>2.35721881150495</c:v>
                </c:pt>
                <c:pt idx="5">
                  <c:v>2.31498706440564</c:v>
                </c:pt>
                <c:pt idx="6">
                  <c:v>2.28139381496479</c:v>
                </c:pt>
                <c:pt idx="7">
                  <c:v>2.25467977968089</c:v>
                </c:pt>
                <c:pt idx="8">
                  <c:v>2.23344112107403</c:v>
                </c:pt>
                <c:pt idx="9">
                  <c:v>2.21655868203438</c:v>
                </c:pt>
                <c:pt idx="10">
                  <c:v>2.2031409203162</c:v>
                </c:pt>
                <c:pt idx="11">
                  <c:v>2.19247803625112</c:v>
                </c:pt>
                <c:pt idx="12">
                  <c:v>2.18400518987762</c:v>
                </c:pt>
                <c:pt idx="13">
                  <c:v>2.17727306430979</c:v>
                </c:pt>
                <c:pt idx="14">
                  <c:v>2.17192434466154</c:v>
                </c:pt>
              </c:numCache>
            </c:numRef>
          </c:val>
          <c:smooth val="0"/>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c:v>
                </c:pt>
                <c:pt idx="1">
                  <c:v>3.69106140201716</c:v>
                </c:pt>
                <c:pt idx="2">
                  <c:v>3.57282067316153</c:v>
                </c:pt>
                <c:pt idx="3">
                  <c:v>3.47852528015789</c:v>
                </c:pt>
                <c:pt idx="4">
                  <c:v>3.40338652184222</c:v>
                </c:pt>
                <c:pt idx="5">
                  <c:v>3.34355115149486</c:v>
                </c:pt>
                <c:pt idx="6">
                  <c:v>3.29592682890032</c:v>
                </c:pt>
                <c:pt idx="7">
                  <c:v>3.25803708140703</c:v>
                </c:pt>
                <c:pt idx="8">
                  <c:v>3.22790196693711</c:v>
                </c:pt>
                <c:pt idx="9">
                  <c:v>3.20394062712549</c:v>
                </c:pt>
                <c:pt idx="10">
                  <c:v>3.18489218281621</c:v>
                </c:pt>
                <c:pt idx="11">
                  <c:v>3.16975181394922</c:v>
                </c:pt>
                <c:pt idx="12">
                  <c:v>3.15771929486822</c:v>
                </c:pt>
                <c:pt idx="13">
                  <c:v>3.14815767512623</c:v>
                </c:pt>
                <c:pt idx="14">
                  <c:v>3.14056017963842</c:v>
                </c:pt>
                <c:pt idx="15">
                  <c:v>3.13452373977245</c:v>
                </c:pt>
                <c:pt idx="16">
                  <c:v>3.12972785639816</c:v>
                </c:pt>
                <c:pt idx="17">
                  <c:v>3.12591773936714</c:v>
                </c:pt>
                <c:pt idx="18">
                  <c:v>3.12289086992089</c:v>
                </c:pt>
                <c:pt idx="19">
                  <c:v>3.12048629850939</c:v>
                </c:pt>
                <c:pt idx="20">
                  <c:v>3.11857612584959</c:v>
                </c:pt>
              </c:numCache>
            </c:numRef>
          </c:val>
          <c:smooth val="0"/>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0.0991190854101876</c:v>
                </c:pt>
                <c:pt idx="4">
                  <c:v>0.076730075219611</c:v>
                </c:pt>
                <c:pt idx="5">
                  <c:v>0.0625844318269897</c:v>
                </c:pt>
                <c:pt idx="6">
                  <c:v>0.0484387884343684</c:v>
                </c:pt>
                <c:pt idx="7">
                  <c:v>0.0395058572371376</c:v>
                </c:pt>
                <c:pt idx="8">
                  <c:v>0.0305729260399068</c:v>
                </c:pt>
                <c:pt idx="9">
                  <c:v>0.0249335843109266</c:v>
                </c:pt>
                <c:pt idx="10">
                  <c:v>0.0192942425819465</c:v>
                </c:pt>
                <c:pt idx="11">
                  <c:v>0.015734845933213</c:v>
                </c:pt>
                <c:pt idx="12">
                  <c:v>0.0121754492844794</c:v>
                </c:pt>
                <c:pt idx="13">
                  <c:v>0.00992913883046676</c:v>
                </c:pt>
                <c:pt idx="14">
                  <c:v>0.00768282837645407</c:v>
                </c:pt>
              </c:numCache>
            </c:numRef>
          </c:val>
          <c:smooth val="0"/>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c:v>
                </c:pt>
                <c:pt idx="2">
                  <c:v>2.3238</c:v>
                </c:pt>
                <c:pt idx="3">
                  <c:v>2.2758</c:v>
                </c:pt>
                <c:pt idx="4">
                  <c:v>2.0239</c:v>
                </c:pt>
                <c:pt idx="5">
                  <c:v>1.9745</c:v>
                </c:pt>
                <c:pt idx="6">
                  <c:v>1.9173</c:v>
                </c:pt>
                <c:pt idx="7">
                  <c:v>1.8942</c:v>
                </c:pt>
                <c:pt idx="8">
                  <c:v>1.8123</c:v>
                </c:pt>
                <c:pt idx="9">
                  <c:v>1.75304</c:v>
                </c:pt>
                <c:pt idx="10">
                  <c:v>1.7028</c:v>
                </c:pt>
              </c:numCache>
            </c:numRef>
          </c:val>
          <c:smooth val="0"/>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c:v>
                </c:pt>
                <c:pt idx="1">
                  <c:v>2.234507</c:v>
                </c:pt>
                <c:pt idx="2">
                  <c:v>2.085509</c:v>
                </c:pt>
                <c:pt idx="3">
                  <c:v>1.965185</c:v>
                </c:pt>
                <c:pt idx="4">
                  <c:v>1.868302</c:v>
                </c:pt>
                <c:pt idx="5">
                  <c:v>1.784513</c:v>
                </c:pt>
                <c:pt idx="6">
                  <c:v>1.677263</c:v>
                </c:pt>
                <c:pt idx="7">
                  <c:v>1.557885</c:v>
                </c:pt>
                <c:pt idx="8">
                  <c:v>1.460974</c:v>
                </c:pt>
                <c:pt idx="9">
                  <c:v>1.382622</c:v>
                </c:pt>
                <c:pt idx="10">
                  <c:v>1.319487</c:v>
                </c:pt>
                <c:pt idx="11">
                  <c:v>1.276502</c:v>
                </c:pt>
                <c:pt idx="12">
                  <c:v>1.248355</c:v>
                </c:pt>
                <c:pt idx="13">
                  <c:v>1.225869</c:v>
                </c:pt>
                <c:pt idx="14">
                  <c:v>1.208244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0.90579394309509</c:v>
                </c:pt>
                <c:pt idx="2">
                  <c:v>0.90579394308038</c:v>
                </c:pt>
                <c:pt idx="3">
                  <c:v>0.905793943068656</c:v>
                </c:pt>
                <c:pt idx="4">
                  <c:v>0.90579394305933</c:v>
                </c:pt>
                <c:pt idx="5">
                  <c:v>0.905793943051958</c:v>
                </c:pt>
                <c:pt idx="6">
                  <c:v>0.905793943046074</c:v>
                </c:pt>
                <c:pt idx="7">
                  <c:v>0.905793943041411</c:v>
                </c:pt>
                <c:pt idx="8">
                  <c:v>0.905793943037714</c:v>
                </c:pt>
                <c:pt idx="9">
                  <c:v>0.90579394303475</c:v>
                </c:pt>
                <c:pt idx="10">
                  <c:v>0.905793943032418</c:v>
                </c:pt>
                <c:pt idx="11">
                  <c:v>0.905793943030564</c:v>
                </c:pt>
                <c:pt idx="12">
                  <c:v>0.905793943029065</c:v>
                </c:pt>
                <c:pt idx="13">
                  <c:v>0.905793943027899</c:v>
                </c:pt>
                <c:pt idx="14">
                  <c:v>0.905793943026967</c:v>
                </c:pt>
                <c:pt idx="15">
                  <c:v>0.905793943026245</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manualLayout>
          <c:xMode val="edge"/>
          <c:yMode val="edge"/>
          <c:x val="0.125002511940909"/>
          <c:y val="0.0176095091349329"/>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c:v>
                </c:pt>
                <c:pt idx="1">
                  <c:v>0.617323407237458</c:v>
                </c:pt>
                <c:pt idx="2">
                  <c:v>0.601684399429847</c:v>
                </c:pt>
                <c:pt idx="3">
                  <c:v>0.589107820606294</c:v>
                </c:pt>
                <c:pt idx="4">
                  <c:v>0.579017641806479</c:v>
                </c:pt>
                <c:pt idx="5">
                  <c:v>0.570937880403466</c:v>
                </c:pt>
                <c:pt idx="6">
                  <c:v>0.564478149919789</c:v>
                </c:pt>
                <c:pt idx="7">
                  <c:v>0.559320232102423</c:v>
                </c:pt>
                <c:pt idx="8">
                  <c:v>0.555206039380263</c:v>
                </c:pt>
                <c:pt idx="9">
                  <c:v>0.551927109175476</c:v>
                </c:pt>
                <c:pt idx="10">
                  <c:v>0.549315620426982</c:v>
                </c:pt>
                <c:pt idx="11">
                  <c:v>0.547236831839715</c:v>
                </c:pt>
                <c:pt idx="12">
                  <c:v>0.545582794428734</c:v>
                </c:pt>
                <c:pt idx="13">
                  <c:v>0.544267173562518</c:v>
                </c:pt>
                <c:pt idx="14">
                  <c:v>0.543221016764883</c:v>
                </c:pt>
              </c:numCache>
            </c:numRef>
          </c:val>
          <c:smooth val="0"/>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0.726179703173568</c:v>
                </c:pt>
                <c:pt idx="1">
                  <c:v>0.704469716213507</c:v>
                </c:pt>
                <c:pt idx="2">
                  <c:v>0.686971814384685</c:v>
                </c:pt>
                <c:pt idx="3">
                  <c:v>0.672906736074963</c:v>
                </c:pt>
                <c:pt idx="4">
                  <c:v>0.661626319409836</c:v>
                </c:pt>
                <c:pt idx="5">
                  <c:v>0.6525959519179</c:v>
                </c:pt>
                <c:pt idx="6">
                  <c:v>0.645377763817734</c:v>
                </c:pt>
                <c:pt idx="7">
                  <c:v>0.639615203458066</c:v>
                </c:pt>
                <c:pt idx="8">
                  <c:v>0.635019322587294</c:v>
                </c:pt>
                <c:pt idx="9">
                  <c:v>0.631356873179656</c:v>
                </c:pt>
                <c:pt idx="10">
                  <c:v>0.628440168166655</c:v>
                </c:pt>
                <c:pt idx="11">
                  <c:v>0.626118570149004</c:v>
                </c:pt>
                <c:pt idx="12">
                  <c:v>0.624271428401646</c:v>
                </c:pt>
                <c:pt idx="13">
                  <c:v>0.622802270651035</c:v>
                </c:pt>
                <c:pt idx="14">
                  <c:v>0.621634060844778</c:v>
                </c:pt>
              </c:numCache>
            </c:numRef>
          </c:val>
          <c:smooth val="0"/>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c:v>
                </c:pt>
                <c:pt idx="2">
                  <c:v>0.96694762156697</c:v>
                </c:pt>
                <c:pt idx="3">
                  <c:v>0.9464808114761</c:v>
                </c:pt>
                <c:pt idx="4">
                  <c:v>0.930051579159407</c:v>
                </c:pt>
                <c:pt idx="5">
                  <c:v>0.916890315518899</c:v>
                </c:pt>
                <c:pt idx="6">
                  <c:v>0.906364516736341</c:v>
                </c:pt>
                <c:pt idx="7">
                  <c:v>0.897957802669777</c:v>
                </c:pt>
                <c:pt idx="8">
                  <c:v>0.891250870111411</c:v>
                </c:pt>
                <c:pt idx="9">
                  <c:v>0.885904729692009</c:v>
                </c:pt>
                <c:pt idx="10">
                  <c:v>0.88164628825253</c:v>
                </c:pt>
                <c:pt idx="11">
                  <c:v>0.878256162947129</c:v>
                </c:pt>
                <c:pt idx="12">
                  <c:v>0.875558518708707</c:v>
                </c:pt>
                <c:pt idx="13">
                  <c:v>0.873412680674298</c:v>
                </c:pt>
                <c:pt idx="14">
                  <c:v>0.87170626740692</c:v>
                </c:pt>
                <c:pt idx="15">
                  <c:v>0.870349604733581</c:v>
                </c:pt>
                <c:pt idx="16">
                  <c:v>0.869271203985018</c:v>
                </c:pt>
                <c:pt idx="17">
                  <c:v>0.868414116182835</c:v>
                </c:pt>
                <c:pt idx="18">
                  <c:v>0.867733001594881</c:v>
                </c:pt>
                <c:pt idx="19">
                  <c:v>0.867191780062936</c:v>
                </c:pt>
                <c:pt idx="20">
                  <c:v>0.866761750655789</c:v>
                </c:pt>
              </c:numCache>
            </c:numRef>
          </c:val>
          <c:smooth val="0"/>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0.0911242687064662</c:v>
                </c:pt>
                <c:pt idx="1">
                  <c:v>0.0758565620747831</c:v>
                </c:pt>
                <c:pt idx="2">
                  <c:v>0.0605888554431</c:v>
                </c:pt>
                <c:pt idx="3">
                  <c:v>0.0501753233714986</c:v>
                </c:pt>
                <c:pt idx="4">
                  <c:v>0.0397617912998971</c:v>
                </c:pt>
                <c:pt idx="5">
                  <c:v>0.0327851056026118</c:v>
                </c:pt>
                <c:pt idx="6">
                  <c:v>0.0258084199053266</c:v>
                </c:pt>
                <c:pt idx="7">
                  <c:v>0.0212079575903579</c:v>
                </c:pt>
                <c:pt idx="8">
                  <c:v>0.0166074952753892</c:v>
                </c:pt>
                <c:pt idx="9">
                  <c:v>0.0136130852971317</c:v>
                </c:pt>
                <c:pt idx="10">
                  <c:v>0.0106186753188742</c:v>
                </c:pt>
                <c:pt idx="11">
                  <c:v>0.00868880959611906</c:v>
                </c:pt>
                <c:pt idx="12">
                  <c:v>0.00675894387336395</c:v>
                </c:pt>
                <c:pt idx="13">
                  <c:v>0.00552397048575459</c:v>
                </c:pt>
                <c:pt idx="14">
                  <c:v>0.00428899709814523</c:v>
                </c:pt>
              </c:numCache>
            </c:numRef>
          </c:val>
          <c:smooth val="0"/>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0.0027642</c:v>
                </c:pt>
                <c:pt idx="1">
                  <c:v>0.00275542</c:v>
                </c:pt>
                <c:pt idx="2">
                  <c:v>0.002699474</c:v>
                </c:pt>
                <c:pt idx="3">
                  <c:v>0.00259447</c:v>
                </c:pt>
                <c:pt idx="4">
                  <c:v>0.0024531</c:v>
                </c:pt>
                <c:pt idx="5">
                  <c:v>0.0023431</c:v>
                </c:pt>
                <c:pt idx="6">
                  <c:v>0.00229447</c:v>
                </c:pt>
                <c:pt idx="7">
                  <c:v>0.0020431</c:v>
                </c:pt>
                <c:pt idx="8">
                  <c:v>0.00199447</c:v>
                </c:pt>
                <c:pt idx="9">
                  <c:v>0.00174585</c:v>
                </c:pt>
                <c:pt idx="10">
                  <c:v>0.0012431</c:v>
                </c:pt>
              </c:numCache>
            </c:numRef>
          </c:val>
          <c:smooth val="0"/>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0.202284</c:v>
                </c:pt>
                <c:pt idx="2">
                  <c:v>0.189868</c:v>
                </c:pt>
                <c:pt idx="3">
                  <c:v>0.166266</c:v>
                </c:pt>
                <c:pt idx="4">
                  <c:v>0.133731</c:v>
                </c:pt>
                <c:pt idx="5">
                  <c:v>0.110302</c:v>
                </c:pt>
                <c:pt idx="6">
                  <c:v>0.092204</c:v>
                </c:pt>
                <c:pt idx="7">
                  <c:v>0.077695</c:v>
                </c:pt>
                <c:pt idx="8">
                  <c:v>0.0660849999999999</c:v>
                </c:pt>
                <c:pt idx="9">
                  <c:v>0.0568069999999999</c:v>
                </c:pt>
                <c:pt idx="10">
                  <c:v>0.0494019999999999</c:v>
                </c:pt>
                <c:pt idx="11">
                  <c:v>0.043497</c:v>
                </c:pt>
                <c:pt idx="12">
                  <c:v>0.038793</c:v>
                </c:pt>
                <c:pt idx="13">
                  <c:v>0.0350459999999999</c:v>
                </c:pt>
                <c:pt idx="14">
                  <c:v>0.032064</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c:v>
                </c:pt>
                <c:pt idx="1">
                  <c:v>3.74678537173704</c:v>
                </c:pt>
                <c:pt idx="2">
                  <c:v>3.62688215902435</c:v>
                </c:pt>
                <c:pt idx="3">
                  <c:v>3.53125536666565</c:v>
                </c:pt>
                <c:pt idx="4">
                  <c:v>3.45505212719377</c:v>
                </c:pt>
                <c:pt idx="5">
                  <c:v>3.39436681074428</c:v>
                </c:pt>
                <c:pt idx="6">
                  <c:v>3.34606455795193</c:v>
                </c:pt>
                <c:pt idx="7">
                  <c:v>3.30763453904145</c:v>
                </c:pt>
                <c:pt idx="8">
                  <c:v>3.27706914872158</c:v>
                </c:pt>
                <c:pt idx="9">
                  <c:v>3.25276531768981</c:v>
                </c:pt>
                <c:pt idx="10">
                  <c:v>3.23344437314216</c:v>
                </c:pt>
                <c:pt idx="11">
                  <c:v>3.21808726523671</c:v>
                </c:pt>
                <c:pt idx="12">
                  <c:v>3.20588240446614</c:v>
                </c:pt>
                <c:pt idx="13">
                  <c:v>3.19618377528564</c:v>
                </c:pt>
                <c:pt idx="14">
                  <c:v>3.18847737759881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c:v>
                </c:pt>
                <c:pt idx="2">
                  <c:v>0.740814109403321</c:v>
                </c:pt>
                <c:pt idx="3">
                  <c:v>0.725401743154819</c:v>
                </c:pt>
                <c:pt idx="4">
                  <c:v>0.713031401761033</c:v>
                </c:pt>
                <c:pt idx="5">
                  <c:v>0.703122571423798</c:v>
                </c:pt>
                <c:pt idx="6">
                  <c:v>0.695198451244028</c:v>
                </c:pt>
                <c:pt idx="7">
                  <c:v>0.688869945739556</c:v>
                </c:pt>
                <c:pt idx="8">
                  <c:v>0.683821202951762</c:v>
                </c:pt>
                <c:pt idx="9">
                  <c:v>0.679796924058596</c:v>
                </c:pt>
                <c:pt idx="10">
                  <c:v>0.676591469063481</c:v>
                </c:pt>
                <c:pt idx="11">
                  <c:v>0.674039660039594</c:v>
                </c:pt>
                <c:pt idx="12">
                  <c:v>0.672009117591954</c:v>
                </c:pt>
                <c:pt idx="13">
                  <c:v>0.67039393924343</c:v>
                </c:pt>
                <c:pt idx="14">
                  <c:v>0.669109525951439</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22192038495188"/>
          <c:h val="0.65570173519976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42.9963287134353</c:v>
                </c:pt>
                <c:pt idx="1">
                  <c:v>36.9757288001557</c:v>
                </c:pt>
                <c:pt idx="2">
                  <c:v>33.4539036190421</c:v>
                </c:pt>
                <c:pt idx="3">
                  <c:v>30.9551288868761</c:v>
                </c:pt>
                <c:pt idx="4">
                  <c:v>29.0169286267149</c:v>
                </c:pt>
                <c:pt idx="5">
                  <c:v>27.4333037057624</c:v>
                </c:pt>
                <c:pt idx="6">
                  <c:v>26.0943679131502</c:v>
                </c:pt>
                <c:pt idx="7">
                  <c:v>24.9345289735964</c:v>
                </c:pt>
                <c:pt idx="8">
                  <c:v>23.9114785246488</c:v>
                </c:pt>
                <c:pt idx="9">
                  <c:v>22.9963287134353</c:v>
                </c:pt>
                <c:pt idx="10">
                  <c:v>22.1684750102708</c:v>
                </c:pt>
                <c:pt idx="11">
                  <c:v>21.4127037924828</c:v>
                </c:pt>
                <c:pt idx="12">
                  <c:v>20.7174616672986</c:v>
                </c:pt>
                <c:pt idx="13">
                  <c:v>20.0737679998705</c:v>
                </c:pt>
                <c:pt idx="14">
                  <c:v>19.4745035323217</c:v>
                </c:pt>
                <c:pt idx="15">
                  <c:v>18.9139290603168</c:v>
                </c:pt>
                <c:pt idx="16">
                  <c:v>18.3873502858698</c:v>
                </c:pt>
                <c:pt idx="17">
                  <c:v>17.8908786113692</c:v>
                </c:pt>
                <c:pt idx="18">
                  <c:v>17.4212566943787</c:v>
                </c:pt>
                <c:pt idx="19">
                  <c:v>16.9757288001557</c:v>
                </c:pt>
                <c:pt idx="20">
                  <c:v>16.5519428187569</c:v>
                </c:pt>
                <c:pt idx="21">
                  <c:v>16.1478750969912</c:v>
                </c:pt>
                <c:pt idx="22">
                  <c:v>15.7617719930834</c:v>
                </c:pt>
                <c:pt idx="23">
                  <c:v>15.3921038792032</c:v>
                </c:pt>
                <c:pt idx="24">
                  <c:v>15.0375285399946</c:v>
                </c:pt>
                <c:pt idx="25">
                  <c:v>14.696861754019</c:v>
                </c:pt>
                <c:pt idx="26">
                  <c:v>14.3690534302555</c:v>
                </c:pt>
                <c:pt idx="27">
                  <c:v>14.0531680865909</c:v>
                </c:pt>
                <c:pt idx="28">
                  <c:v>13.7483687554562</c:v>
                </c:pt>
                <c:pt idx="29">
                  <c:v>13.4539036190421</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43.9963287134353</c:v>
                </c:pt>
                <c:pt idx="1">
                  <c:v>37.9757288001557</c:v>
                </c:pt>
                <c:pt idx="2">
                  <c:v>34.4539036190421</c:v>
                </c:pt>
                <c:pt idx="3">
                  <c:v>31.9551288868761</c:v>
                </c:pt>
                <c:pt idx="4">
                  <c:v>30.0169286267149</c:v>
                </c:pt>
                <c:pt idx="5">
                  <c:v>28.4333037057624</c:v>
                </c:pt>
                <c:pt idx="6">
                  <c:v>27.0943679131502</c:v>
                </c:pt>
                <c:pt idx="7">
                  <c:v>25.9345289735964</c:v>
                </c:pt>
                <c:pt idx="8">
                  <c:v>24.9114785246488</c:v>
                </c:pt>
                <c:pt idx="9">
                  <c:v>23.9963287134353</c:v>
                </c:pt>
                <c:pt idx="10">
                  <c:v>23.1684750102708</c:v>
                </c:pt>
                <c:pt idx="11">
                  <c:v>22.4127037924828</c:v>
                </c:pt>
                <c:pt idx="12">
                  <c:v>21.7174616672986</c:v>
                </c:pt>
                <c:pt idx="13">
                  <c:v>21.0737679998705</c:v>
                </c:pt>
                <c:pt idx="14">
                  <c:v>20.4745035323217</c:v>
                </c:pt>
                <c:pt idx="15">
                  <c:v>19.9139290603168</c:v>
                </c:pt>
                <c:pt idx="16">
                  <c:v>19.3873502858698</c:v>
                </c:pt>
                <c:pt idx="17">
                  <c:v>18.8908786113692</c:v>
                </c:pt>
                <c:pt idx="18">
                  <c:v>18.4212566943787</c:v>
                </c:pt>
                <c:pt idx="19">
                  <c:v>17.9757288001557</c:v>
                </c:pt>
                <c:pt idx="20">
                  <c:v>17.5519428187569</c:v>
                </c:pt>
                <c:pt idx="21">
                  <c:v>17.1478750969912</c:v>
                </c:pt>
                <c:pt idx="22">
                  <c:v>16.7617719930834</c:v>
                </c:pt>
                <c:pt idx="23">
                  <c:v>16.3921038792032</c:v>
                </c:pt>
                <c:pt idx="24">
                  <c:v>16.0375285399946</c:v>
                </c:pt>
                <c:pt idx="25">
                  <c:v>15.696861754019</c:v>
                </c:pt>
                <c:pt idx="26">
                  <c:v>15.3690534302555</c:v>
                </c:pt>
                <c:pt idx="27">
                  <c:v>15.0531680865909</c:v>
                </c:pt>
                <c:pt idx="28">
                  <c:v>14.7483687554562</c:v>
                </c:pt>
                <c:pt idx="29">
                  <c:v>14.4539036190421</c:v>
                </c:pt>
              </c:numCache>
            </c:numRef>
          </c:val>
          <c:smooth val="0"/>
        </c:ser>
        <c:dLbls>
          <c:showLegendKey val="0"/>
          <c:showVal val="0"/>
          <c:showCatName val="0"/>
          <c:showSerName val="0"/>
          <c:showPercent val="0"/>
          <c:showBubbleSize val="0"/>
        </c:dLbls>
        <c:marker val="0"/>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2952"/>
        <c:crosses val="autoZero"/>
        <c:crossBetween val="between"/>
      </c:valAx>
      <c:spPr>
        <a:noFill/>
        <a:ln>
          <a:noFill/>
        </a:ln>
        <a:effectLst/>
      </c:spPr>
    </c:plotArea>
    <c:legend>
      <c:legendPos val="b"/>
      <c:layout>
        <c:manualLayout>
          <c:xMode val="edge"/>
          <c:yMode val="edge"/>
          <c:x val="0.635755249343832"/>
          <c:y val="0.232059638378536"/>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33580489938758"/>
          <c:h val="0.64644247594050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c:v>
                </c:pt>
                <c:pt idx="1">
                  <c:v>34.9448289302362</c:v>
                </c:pt>
                <c:pt idx="2">
                  <c:v>31.4230037491226</c:v>
                </c:pt>
                <c:pt idx="3">
                  <c:v>28.9242290169566</c:v>
                </c:pt>
                <c:pt idx="4">
                  <c:v>26.9860287567955</c:v>
                </c:pt>
                <c:pt idx="5">
                  <c:v>25.402403835843</c:v>
                </c:pt>
                <c:pt idx="6">
                  <c:v>24.0634680432307</c:v>
                </c:pt>
                <c:pt idx="7">
                  <c:v>22.903629103677</c:v>
                </c:pt>
                <c:pt idx="8">
                  <c:v>21.8805786547294</c:v>
                </c:pt>
                <c:pt idx="9">
                  <c:v>20.9654288435159</c:v>
                </c:pt>
                <c:pt idx="10">
                  <c:v>20.1375751403514</c:v>
                </c:pt>
                <c:pt idx="11">
                  <c:v>19.3818039225634</c:v>
                </c:pt>
                <c:pt idx="12">
                  <c:v>18.6865617973791</c:v>
                </c:pt>
                <c:pt idx="13">
                  <c:v>18.0428681299511</c:v>
                </c:pt>
                <c:pt idx="14">
                  <c:v>17.4436036624022</c:v>
                </c:pt>
                <c:pt idx="15">
                  <c:v>16.8830291903974</c:v>
                </c:pt>
                <c:pt idx="16">
                  <c:v>16.3564504159504</c:v>
                </c:pt>
                <c:pt idx="17">
                  <c:v>15.8599787414497</c:v>
                </c:pt>
                <c:pt idx="18">
                  <c:v>15.3903568244593</c:v>
                </c:pt>
                <c:pt idx="19">
                  <c:v>14.9448289302362</c:v>
                </c:pt>
                <c:pt idx="20">
                  <c:v>14.5210429488375</c:v>
                </c:pt>
                <c:pt idx="21">
                  <c:v>14.1169752270717</c:v>
                </c:pt>
                <c:pt idx="22">
                  <c:v>13.730872123164</c:v>
                </c:pt>
                <c:pt idx="23">
                  <c:v>13.3612040092837</c:v>
                </c:pt>
                <c:pt idx="24">
                  <c:v>13.0066286700751</c:v>
                </c:pt>
                <c:pt idx="25">
                  <c:v>12.6659618840995</c:v>
                </c:pt>
                <c:pt idx="26">
                  <c:v>12.3381535603361</c:v>
                </c:pt>
                <c:pt idx="27">
                  <c:v>12.0222682166715</c:v>
                </c:pt>
                <c:pt idx="28">
                  <c:v>11.7174688855367</c:v>
                </c:pt>
                <c:pt idx="29">
                  <c:v>11.4230037491226</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c:v>
                </c:pt>
                <c:pt idx="1">
                  <c:v>31.9448289302362</c:v>
                </c:pt>
                <c:pt idx="2">
                  <c:v>28.4230037491226</c:v>
                </c:pt>
                <c:pt idx="3">
                  <c:v>25.9242290169566</c:v>
                </c:pt>
                <c:pt idx="4">
                  <c:v>23.9860287567955</c:v>
                </c:pt>
                <c:pt idx="5">
                  <c:v>22.402403835843</c:v>
                </c:pt>
                <c:pt idx="6">
                  <c:v>21.0634680432307</c:v>
                </c:pt>
                <c:pt idx="7">
                  <c:v>19.903629103677</c:v>
                </c:pt>
                <c:pt idx="8">
                  <c:v>18.8805786547294</c:v>
                </c:pt>
                <c:pt idx="9">
                  <c:v>17.9654288435159</c:v>
                </c:pt>
                <c:pt idx="10">
                  <c:v>17.1375751403514</c:v>
                </c:pt>
                <c:pt idx="11">
                  <c:v>16.3818039225634</c:v>
                </c:pt>
                <c:pt idx="12">
                  <c:v>15.6865617973791</c:v>
                </c:pt>
                <c:pt idx="13">
                  <c:v>15.0428681299511</c:v>
                </c:pt>
                <c:pt idx="14">
                  <c:v>14.4436036624022</c:v>
                </c:pt>
                <c:pt idx="15">
                  <c:v>13.8830291903974</c:v>
                </c:pt>
                <c:pt idx="16">
                  <c:v>13.3564504159504</c:v>
                </c:pt>
                <c:pt idx="17">
                  <c:v>12.8599787414497</c:v>
                </c:pt>
                <c:pt idx="18">
                  <c:v>12.3903568244593</c:v>
                </c:pt>
                <c:pt idx="19">
                  <c:v>11.9448289302362</c:v>
                </c:pt>
                <c:pt idx="20">
                  <c:v>11.5210429488375</c:v>
                </c:pt>
                <c:pt idx="21">
                  <c:v>11.1169752270717</c:v>
                </c:pt>
                <c:pt idx="22">
                  <c:v>10.730872123164</c:v>
                </c:pt>
                <c:pt idx="23">
                  <c:v>10.3612040092837</c:v>
                </c:pt>
                <c:pt idx="24">
                  <c:v>10.0066286700751</c:v>
                </c:pt>
                <c:pt idx="25">
                  <c:v>9.66596188409952</c:v>
                </c:pt>
                <c:pt idx="26">
                  <c:v>9.33815356033611</c:v>
                </c:pt>
                <c:pt idx="27">
                  <c:v>9.02226821667148</c:v>
                </c:pt>
                <c:pt idx="28">
                  <c:v>8.71746888553673</c:v>
                </c:pt>
                <c:pt idx="29">
                  <c:v>8.42300374912261</c:v>
                </c:pt>
              </c:numCache>
            </c:numRef>
          </c:val>
          <c:smooth val="0"/>
        </c:ser>
        <c:dLbls>
          <c:showLegendKey val="0"/>
          <c:showVal val="0"/>
          <c:showCatName val="0"/>
          <c:showSerName val="0"/>
          <c:showPercent val="0"/>
          <c:showBubbleSize val="0"/>
        </c:dLbls>
        <c:marker val="0"/>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baseline="0"/>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2784"/>
        <c:crosses val="autoZero"/>
        <c:crossBetween val="between"/>
      </c:valAx>
      <c:spPr>
        <a:noFill/>
        <a:ln>
          <a:noFill/>
        </a:ln>
        <a:effectLst/>
      </c:spPr>
    </c:plotArea>
    <c:legend>
      <c:legendPos val="b"/>
      <c:layout>
        <c:manualLayout>
          <c:xMode val="edge"/>
          <c:yMode val="edge"/>
          <c:x val="0.632977471566054"/>
          <c:y val="0.241318897637795"/>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endParaRPr lang="en-US"/>
          </a:p>
        </c:rich>
      </c:tx>
      <c:layout>
        <c:manualLayout>
          <c:xMode val="edge"/>
          <c:yMode val="edge"/>
          <c:x val="0.114524573317224"/>
          <c:y val="0.0166701396124193"/>
        </c:manualLayout>
      </c:layout>
      <c:overlay val="0"/>
      <c:spPr>
        <a:noFill/>
        <a:ln>
          <a:noFill/>
        </a:ln>
        <a:effectLst/>
      </c:sp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18.5831965302026</c:v>
                </c:pt>
                <c:pt idx="1">
                  <c:v>15.996443296714</c:v>
                </c:pt>
                <c:pt idx="2">
                  <c:v>13.6109756272853</c:v>
                </c:pt>
                <c:pt idx="3">
                  <c:v>11.3762088100829</c:v>
                </c:pt>
                <c:pt idx="4">
                  <c:v>9.42043067219265</c:v>
                </c:pt>
                <c:pt idx="5">
                  <c:v>7.69896947948924</c:v>
                </c:pt>
                <c:pt idx="6">
                  <c:v>6.18509980604792</c:v>
                </c:pt>
                <c:pt idx="7">
                  <c:v>4.91922815481447</c:v>
                </c:pt>
                <c:pt idx="8">
                  <c:v>3.89216861733728</c:v>
                </c:pt>
                <c:pt idx="9">
                  <c:v>3.05819341275929</c:v>
                </c:pt>
                <c:pt idx="10">
                  <c:v>2.38179273359705</c:v>
                </c:pt>
                <c:pt idx="11">
                  <c:v>1.90913989136771</c:v>
                </c:pt>
                <c:pt idx="12">
                  <c:v>1.53874956052587</c:v>
                </c:pt>
                <c:pt idx="13">
                  <c:v>1.25710780868554</c:v>
                </c:pt>
                <c:pt idx="14">
                  <c:v>1.04292939144073</c:v>
                </c:pt>
                <c:pt idx="15">
                  <c:v>0.860994365590173</c:v>
                </c:pt>
                <c:pt idx="16">
                  <c:v>0.712513246533253</c:v>
                </c:pt>
                <c:pt idx="17">
                  <c:v>0.607240272448262</c:v>
                </c:pt>
                <c:pt idx="18">
                  <c:v>0.507958802752329</c:v>
                </c:pt>
                <c:pt idx="19">
                  <c:v>0.450418478943537</c:v>
                </c:pt>
                <c:pt idx="20">
                  <c:v>0.400751413852929</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c:v>
                </c:pt>
                <c:pt idx="1">
                  <c:v>35.0234393383987</c:v>
                </c:pt>
                <c:pt idx="2">
                  <c:v>31.4645126281122</c:v>
                </c:pt>
                <c:pt idx="3">
                  <c:v>28.0628090897764</c:v>
                </c:pt>
                <c:pt idx="4">
                  <c:v>24.7849906241073</c:v>
                </c:pt>
                <c:pt idx="5">
                  <c:v>21.7451067097001</c:v>
                </c:pt>
                <c:pt idx="6">
                  <c:v>18.8726912369587</c:v>
                </c:pt>
                <c:pt idx="7">
                  <c:v>16.164040579989</c:v>
                </c:pt>
                <c:pt idx="8">
                  <c:v>13.7146570494719</c:v>
                </c:pt>
                <c:pt idx="9">
                  <c:v>11.5332678213875</c:v>
                </c:pt>
                <c:pt idx="10">
                  <c:v>9.5621015952747</c:v>
                </c:pt>
                <c:pt idx="11">
                  <c:v>7.85974438791512</c:v>
                </c:pt>
                <c:pt idx="12">
                  <c:v>6.38915549792746</c:v>
                </c:pt>
                <c:pt idx="13">
                  <c:v>5.14469860792021</c:v>
                </c:pt>
                <c:pt idx="14">
                  <c:v>4.12779700649663</c:v>
                </c:pt>
                <c:pt idx="15">
                  <c:v>3.29456226889965</c:v>
                </c:pt>
                <c:pt idx="16">
                  <c:v>2.63957619773796</c:v>
                </c:pt>
                <c:pt idx="17">
                  <c:v>2.09190448901735</c:v>
                </c:pt>
                <c:pt idx="18">
                  <c:v>1.66536031147826</c:v>
                </c:pt>
                <c:pt idx="19">
                  <c:v>1.35072866685803</c:v>
                </c:pt>
                <c:pt idx="20">
                  <c:v>1.11785855035177</c:v>
                </c:pt>
              </c:numCache>
            </c:numRef>
          </c:val>
          <c:smooth val="0"/>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c:v>
                </c:pt>
                <c:pt idx="1">
                  <c:v>7.64615621410343</c:v>
                </c:pt>
                <c:pt idx="2">
                  <c:v>6.16756832862682</c:v>
                </c:pt>
                <c:pt idx="3">
                  <c:v>4.86973119111536</c:v>
                </c:pt>
                <c:pt idx="4">
                  <c:v>3.81283144767384</c:v>
                </c:pt>
                <c:pt idx="5">
                  <c:v>2.95187309716664</c:v>
                </c:pt>
                <c:pt idx="6">
                  <c:v>2.25766719489904</c:v>
                </c:pt>
                <c:pt idx="7">
                  <c:v>1.73396377066107</c:v>
                </c:pt>
                <c:pt idx="8">
                  <c:v>1.34248222469709</c:v>
                </c:pt>
                <c:pt idx="9">
                  <c:v>1.02333655710372</c:v>
                </c:pt>
                <c:pt idx="10">
                  <c:v>0.794442940430729</c:v>
                </c:pt>
                <c:pt idx="11">
                  <c:v>0.620024458434476</c:v>
                </c:pt>
                <c:pt idx="12">
                  <c:v>0.484888021608065</c:v>
                </c:pt>
                <c:pt idx="13">
                  <c:v>0.384969601236906</c:v>
                </c:pt>
                <c:pt idx="14">
                  <c:v>0.314961164154126</c:v>
                </c:pt>
                <c:pt idx="15">
                  <c:v>0.259582674733283</c:v>
                </c:pt>
                <c:pt idx="16">
                  <c:v>0.205055434065105</c:v>
                </c:pt>
                <c:pt idx="17">
                  <c:v>0.165607717005245</c:v>
                </c:pt>
                <c:pt idx="18">
                  <c:v>0.127693461663647</c:v>
                </c:pt>
                <c:pt idx="19">
                  <c:v>0.107259928049652</c:v>
                </c:pt>
                <c:pt idx="20">
                  <c:v>0.0948584500790495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c:v>
                </c:pt>
                <c:pt idx="1">
                  <c:v>35.1300336629186</c:v>
                </c:pt>
                <c:pt idx="2">
                  <c:v>31.5776109969918</c:v>
                </c:pt>
                <c:pt idx="3">
                  <c:v>28.1304194761463</c:v>
                </c:pt>
                <c:pt idx="4">
                  <c:v>24.8560399682021</c:v>
                </c:pt>
                <c:pt idx="5">
                  <c:v>21.7353911404308</c:v>
                </c:pt>
                <c:pt idx="6">
                  <c:v>18.885400408416</c:v>
                </c:pt>
                <c:pt idx="7">
                  <c:v>16.2282043832408</c:v>
                </c:pt>
                <c:pt idx="8">
                  <c:v>13.7943264153519</c:v>
                </c:pt>
                <c:pt idx="9">
                  <c:v>11.6819102288628</c:v>
                </c:pt>
                <c:pt idx="10">
                  <c:v>9.77313665835855</c:v>
                </c:pt>
                <c:pt idx="11">
                  <c:v>8.18859007914476</c:v>
                </c:pt>
                <c:pt idx="12">
                  <c:v>6.81445164145869</c:v>
                </c:pt>
                <c:pt idx="13">
                  <c:v>5.61385848659461</c:v>
                </c:pt>
                <c:pt idx="14">
                  <c:v>4.66726120595214</c:v>
                </c:pt>
                <c:pt idx="15">
                  <c:v>3.87499003444777</c:v>
                </c:pt>
                <c:pt idx="16">
                  <c:v>3.21310192068413</c:v>
                </c:pt>
                <c:pt idx="17">
                  <c:v>2.70132911630339</c:v>
                </c:pt>
                <c:pt idx="18">
                  <c:v>2.28657071449572</c:v>
                </c:pt>
                <c:pt idx="19">
                  <c:v>1.96734813639061</c:v>
                </c:pt>
                <c:pt idx="20">
                  <c:v>1.69402915223928</c:v>
                </c:pt>
              </c:numCache>
            </c:numRef>
          </c:val>
          <c:smooth val="0"/>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7.31158226526438</c:v>
                </c:pt>
                <c:pt idx="1">
                  <c:v>5.94853751403128</c:v>
                </c:pt>
                <c:pt idx="2">
                  <c:v>4.79696237987761</c:v>
                </c:pt>
                <c:pt idx="3">
                  <c:v>3.83215327304598</c:v>
                </c:pt>
                <c:pt idx="4">
                  <c:v>3.05415222883284</c:v>
                </c:pt>
                <c:pt idx="5">
                  <c:v>2.45181130374816</c:v>
                </c:pt>
                <c:pt idx="6">
                  <c:v>1.92778171496728</c:v>
                </c:pt>
                <c:pt idx="7">
                  <c:v>1.53278279808733</c:v>
                </c:pt>
                <c:pt idx="8">
                  <c:v>1.22773497890248</c:v>
                </c:pt>
                <c:pt idx="9">
                  <c:v>0.990093386686486</c:v>
                </c:pt>
                <c:pt idx="10">
                  <c:v>0.793234295200762</c:v>
                </c:pt>
                <c:pt idx="11">
                  <c:v>0.638647067911902</c:v>
                </c:pt>
                <c:pt idx="12">
                  <c:v>0.494285651519544</c:v>
                </c:pt>
                <c:pt idx="13">
                  <c:v>0.405366915090777</c:v>
                </c:pt>
                <c:pt idx="14">
                  <c:v>0.334014727368248</c:v>
                </c:pt>
                <c:pt idx="15">
                  <c:v>0.267172441042685</c:v>
                </c:pt>
                <c:pt idx="16">
                  <c:v>0.226279605063862</c:v>
                </c:pt>
                <c:pt idx="17">
                  <c:v>0.192076190436463</c:v>
                </c:pt>
                <c:pt idx="18">
                  <c:v>0.166410240752302</c:v>
                </c:pt>
                <c:pt idx="19">
                  <c:v>0.127182660325542</c:v>
                </c:pt>
                <c:pt idx="20">
                  <c:v>0.11534549933454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c:v>
                </c:pt>
                <c:pt idx="1">
                  <c:v>0.306777122328927</c:v>
                </c:pt>
                <c:pt idx="2">
                  <c:v>0.292265457742613</c:v>
                </c:pt>
                <c:pt idx="3">
                  <c:v>0.280415680364499</c:v>
                </c:pt>
                <c:pt idx="4">
                  <c:v>0.270783417208853</c:v>
                </c:pt>
                <c:pt idx="5">
                  <c:v>0.262984606972749</c:v>
                </c:pt>
                <c:pt idx="6">
                  <c:v>0.256691635354711</c:v>
                </c:pt>
                <c:pt idx="7">
                  <c:v>0.251628292008521</c:v>
                </c:pt>
                <c:pt idx="8">
                  <c:v>0.24756407658223</c:v>
                </c:pt>
                <c:pt idx="9">
                  <c:v>0.244308317283026</c:v>
                </c:pt>
                <c:pt idx="10">
                  <c:v>0.24170445717635</c:v>
                </c:pt>
                <c:pt idx="11">
                  <c:v>0.239624746738942</c:v>
                </c:pt>
                <c:pt idx="12">
                  <c:v>0.23796547788083</c:v>
                </c:pt>
                <c:pt idx="13">
                  <c:v>0.236642814281562</c:v>
                </c:pt>
                <c:pt idx="14">
                  <c:v>0.235589216718535</c:v>
                </c:pt>
                <c:pt idx="15">
                  <c:v>0.234750426873187</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manualLayout>
          <c:layoutTarget val="inner"/>
          <c:xMode val="edge"/>
          <c:yMode val="edge"/>
          <c:x val="0.111541518538053"/>
          <c:y val="0.164062712005357"/>
          <c:w val="0.832959019973215"/>
          <c:h val="0.600129955360686"/>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1.59391857490476e-6</c:v>
                </c:pt>
                <c:pt idx="1">
                  <c:v>1.26691593882455e-6</c:v>
                </c:pt>
                <c:pt idx="2">
                  <c:v>1.00716844864124e-6</c:v>
                </c:pt>
                <c:pt idx="3">
                  <c:v>8.00843713566479e-7</c:v>
                </c:pt>
                <c:pt idx="4">
                  <c:v>6.36954178290239e-7</c:v>
                </c:pt>
                <c:pt idx="5">
                  <c:v>5.06772090957952e-7</c:v>
                </c:pt>
                <c:pt idx="6">
                  <c:v>4.0336479711911e-7</c:v>
                </c:pt>
                <c:pt idx="7">
                  <c:v>3.21225424038119e-7</c:v>
                </c:pt>
                <c:pt idx="8">
                  <c:v>2.55979804020257e-7</c:v>
                </c:pt>
                <c:pt idx="9">
                  <c:v>2.04153405292118e-7</c:v>
                </c:pt>
                <c:pt idx="10">
                  <c:v>1.62986169005563e-7</c:v>
                </c:pt>
                <c:pt idx="11">
                  <c:v>1.30285904287319e-7</c:v>
                </c:pt>
                <c:pt idx="12">
                  <c:v>1.0431115970988e-7</c:v>
                </c:pt>
                <c:pt idx="13">
                  <c:v>8.36786862024042e-8</c:v>
                </c:pt>
                <c:pt idx="14">
                  <c:v>6.72897182418808e-8</c:v>
                </c:pt>
                <c:pt idx="15">
                  <c:v>5.42715095086521e-8</c:v>
                </c:pt>
                <c:pt idx="16">
                  <c:v>4.39308034394514e-8</c:v>
                </c:pt>
                <c:pt idx="17">
                  <c:v>3.57168628006832e-8</c:v>
                </c:pt>
                <c:pt idx="18">
                  <c:v>2.91923041295661e-8</c:v>
                </c:pt>
                <c:pt idx="19">
                  <c:v>2.40096720283134e-8</c:v>
                </c:pt>
                <c:pt idx="20">
                  <c:v>1.98929317463126e-8</c:v>
                </c:pt>
              </c:numCache>
            </c:numRef>
          </c:val>
          <c:smooth val="0"/>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0.00539689824077177</c:v>
                </c:pt>
                <c:pt idx="1">
                  <c:v>0.0042897700778101</c:v>
                </c:pt>
                <c:pt idx="2">
                  <c:v>0.00341031740075627</c:v>
                </c:pt>
                <c:pt idx="3">
                  <c:v>0.00271172468278088</c:v>
                </c:pt>
                <c:pt idx="4">
                  <c:v>0.00215680100985224</c:v>
                </c:pt>
                <c:pt idx="5">
                  <c:v>0.0017160020527912</c:v>
                </c:pt>
                <c:pt idx="6">
                  <c:v>0.00136585831632391</c:v>
                </c:pt>
                <c:pt idx="7">
                  <c:v>0.00108772630787743</c:v>
                </c:pt>
                <c:pt idx="8">
                  <c:v>0.000866796337757834</c:v>
                </c:pt>
                <c:pt idx="9">
                  <c:v>0.000691304249213422</c:v>
                </c:pt>
                <c:pt idx="10">
                  <c:v>0.000551905186660565</c:v>
                </c:pt>
                <c:pt idx="11">
                  <c:v>0.000441176107460171</c:v>
                </c:pt>
                <c:pt idx="12">
                  <c:v>0.000353220578207365</c:v>
                </c:pt>
                <c:pt idx="13">
                  <c:v>0.000283354831609578</c:v>
                </c:pt>
                <c:pt idx="14">
                  <c:v>0.000227858378928215</c:v>
                </c:pt>
                <c:pt idx="15">
                  <c:v>0.000183775905435599</c:v>
                </c:pt>
                <c:pt idx="16">
                  <c:v>0.000148759905325594</c:v>
                </c:pt>
                <c:pt idx="17">
                  <c:v>0.000120945678212619</c:v>
                </c:pt>
                <c:pt idx="18">
                  <c:v>9.88520336675971e-5</c:v>
                </c:pt>
                <c:pt idx="19">
                  <c:v>8.13024162423552e-5</c:v>
                </c:pt>
                <c:pt idx="20">
                  <c:v>6.73622522010697e-5</c:v>
                </c:pt>
              </c:numCache>
            </c:numRef>
          </c:val>
          <c:smooth val="0"/>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7.63844554274584e-6</c:v>
                </c:pt>
                <c:pt idx="1">
                  <c:v>6.22899807289912e-6</c:v>
                </c:pt>
                <c:pt idx="2">
                  <c:v>4.81955060305239e-6</c:v>
                </c:pt>
                <c:pt idx="3">
                  <c:v>3.93024432998601e-6</c:v>
                </c:pt>
                <c:pt idx="4">
                  <c:v>3.04093805691963e-6</c:v>
                </c:pt>
                <c:pt idx="5">
                  <c:v>2.47982172574268e-6</c:v>
                </c:pt>
                <c:pt idx="6">
                  <c:v>1.91870539456573e-6</c:v>
                </c:pt>
                <c:pt idx="7">
                  <c:v>1.56466385958787e-6</c:v>
                </c:pt>
                <c:pt idx="8">
                  <c:v>1.21062232461e-6</c:v>
                </c:pt>
                <c:pt idx="9">
                  <c:v>9.87236997707086e-7</c:v>
                </c:pt>
                <c:pt idx="10">
                  <c:v>7.63851670804172e-7</c:v>
                </c:pt>
                <c:pt idx="11">
                  <c:v>6.2290488322958e-7</c:v>
                </c:pt>
                <c:pt idx="12">
                  <c:v>4.81958095654989e-7</c:v>
                </c:pt>
                <c:pt idx="13">
                  <c:v>3.93026666767327e-7</c:v>
                </c:pt>
                <c:pt idx="14">
                  <c:v>3.04095237879665e-7</c:v>
                </c:pt>
                <c:pt idx="15">
                  <c:v>2.47983195089674e-7</c:v>
                </c:pt>
                <c:pt idx="16">
                  <c:v>1.91871152299683e-7</c:v>
                </c:pt>
                <c:pt idx="17">
                  <c:v>1.5646695605831e-7</c:v>
                </c:pt>
                <c:pt idx="18">
                  <c:v>1.21062759816937e-7</c:v>
                </c:pt>
                <c:pt idx="19">
                  <c:v>9.87241177696774e-8</c:v>
                </c:pt>
                <c:pt idx="20">
                  <c:v>7.63854757224181e-8</c:v>
                </c:pt>
              </c:numCache>
            </c:numRef>
          </c:val>
          <c:smooth val="0"/>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3e-6</c:v>
                </c:pt>
                <c:pt idx="2">
                  <c:v>2.42e-6</c:v>
                </c:pt>
                <c:pt idx="3">
                  <c:v>1.96e-6</c:v>
                </c:pt>
                <c:pt idx="4">
                  <c:v>1.6e-6</c:v>
                </c:pt>
                <c:pt idx="5">
                  <c:v>1.3e-6</c:v>
                </c:pt>
                <c:pt idx="6">
                  <c:v>1.08e-6</c:v>
                </c:pt>
                <c:pt idx="7">
                  <c:v>8.8e-7</c:v>
                </c:pt>
                <c:pt idx="8">
                  <c:v>7.4e-7</c:v>
                </c:pt>
                <c:pt idx="9">
                  <c:v>6.2e-7</c:v>
                </c:pt>
                <c:pt idx="10">
                  <c:v>5.9e-8</c:v>
                </c:pt>
                <c:pt idx="11">
                  <c:v>4.5e-8</c:v>
                </c:pt>
                <c:pt idx="12">
                  <c:v>4.1e-8</c:v>
                </c:pt>
                <c:pt idx="13">
                  <c:v>3.7e-8</c:v>
                </c:pt>
                <c:pt idx="14">
                  <c:v>3.3e-8</c:v>
                </c:pt>
                <c:pt idx="15">
                  <c:v>2.9e-8</c:v>
                </c:pt>
                <c:pt idx="16">
                  <c:v>2.5e-8</c:v>
                </c:pt>
                <c:pt idx="17">
                  <c:v>2.4e-8</c:v>
                </c:pt>
                <c:pt idx="18">
                  <c:v>2.4e-8</c:v>
                </c:pt>
                <c:pt idx="19">
                  <c:v>2.2e-8</c:v>
                </c:pt>
                <c:pt idx="20">
                  <c:v>2.2e-8</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42198985402216"/>
              <c:y val="0.84293505140651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210293611257776"/>
              <c:y val="0.25862588772647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53189428813892"/>
          <c:y val="0.911971217605581"/>
          <c:w val="0.689225989608442"/>
          <c:h val="0.0880287851342526"/>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datastoreItem>
</file>

<file path=docProps/app.xml><?xml version="1.0" encoding="utf-8"?>
<Properties xmlns="http://schemas.openxmlformats.org/officeDocument/2006/extended-properties" xmlns:vt="http://schemas.openxmlformats.org/officeDocument/2006/docPropsVTypes">
  <Template>3gpp_70.dot</Template>
  <Pages>46</Pages>
  <Words>16404</Words>
  <Characters>93507</Characters>
  <Lines>779</Lines>
  <Paragraphs>219</Paragraphs>
  <TotalTime>144</TotalTime>
  <ScaleCrop>false</ScaleCrop>
  <LinksUpToDate>false</LinksUpToDate>
  <CharactersWithSpaces>109692</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2023-06-02T08:43:00Z</dcterms:created>
  <dcterms:modified xsi:type="dcterms:W3CDTF">2023-11-23T14:56:44Z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46DCDF4E26EC4F6196AEC9E2682FB246</vt:lpwstr>
  </property>
</Properties>
</file>